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BCE" w:rsidRPr="00565178" w:rsidRDefault="00DA7BCE" w:rsidP="005E7000">
      <w:pPr>
        <w:spacing w:after="0"/>
        <w:ind w:left="4320" w:hanging="4320"/>
        <w:rPr>
          <w:rFonts w:ascii="Times New Roman" w:hAnsi="Times New Roman" w:cs="Times New Roman"/>
          <w:color w:val="000000"/>
          <w:sz w:val="24"/>
          <w:szCs w:val="24"/>
        </w:rPr>
      </w:pPr>
      <w:bookmarkStart w:id="0" w:name="_Hlk485794113"/>
      <w:bookmarkStart w:id="1" w:name="_GoBack"/>
      <w:bookmarkEnd w:id="1"/>
      <w:r w:rsidRPr="00565178">
        <w:rPr>
          <w:rStyle w:val="Strong"/>
          <w:rFonts w:ascii="Times New Roman" w:hAnsi="Times New Roman" w:cs="Times New Roman"/>
          <w:b w:val="0"/>
          <w:bCs w:val="0"/>
          <w:color w:val="000000"/>
          <w:sz w:val="24"/>
          <w:szCs w:val="24"/>
        </w:rPr>
        <w:t>Larry Gunderson</w:t>
      </w:r>
    </w:p>
    <w:p w:rsidR="00DA7BCE" w:rsidRPr="00565178" w:rsidRDefault="00DA7BCE" w:rsidP="005E7000">
      <w:pPr>
        <w:spacing w:after="0"/>
        <w:ind w:left="4320" w:hanging="4320"/>
        <w:rPr>
          <w:rFonts w:ascii="Times New Roman" w:hAnsi="Times New Roman" w:cs="Times New Roman"/>
          <w:color w:val="000000"/>
          <w:sz w:val="24"/>
          <w:szCs w:val="24"/>
        </w:rPr>
      </w:pPr>
      <w:r w:rsidRPr="00565178">
        <w:rPr>
          <w:rFonts w:ascii="Times New Roman" w:hAnsi="Times New Roman" w:cs="Times New Roman"/>
          <w:color w:val="000000"/>
          <w:sz w:val="24"/>
          <w:szCs w:val="24"/>
        </w:rPr>
        <w:t>Pesticide and Fertilizer Management Division</w:t>
      </w:r>
    </w:p>
    <w:p w:rsidR="005E7000" w:rsidRPr="00565178" w:rsidRDefault="00DA7BCE" w:rsidP="005E7000">
      <w:pPr>
        <w:spacing w:after="0"/>
        <w:ind w:left="4320" w:hanging="4320"/>
        <w:rPr>
          <w:rFonts w:ascii="Times New Roman" w:hAnsi="Times New Roman" w:cs="Times New Roman"/>
          <w:color w:val="000000"/>
          <w:sz w:val="24"/>
          <w:szCs w:val="24"/>
        </w:rPr>
      </w:pPr>
      <w:r w:rsidRPr="00565178">
        <w:rPr>
          <w:rFonts w:ascii="Times New Roman" w:hAnsi="Times New Roman" w:cs="Times New Roman"/>
          <w:color w:val="000000"/>
          <w:sz w:val="24"/>
          <w:szCs w:val="24"/>
        </w:rPr>
        <w:t>Minn</w:t>
      </w:r>
      <w:r w:rsidR="005E7000" w:rsidRPr="00565178">
        <w:rPr>
          <w:rFonts w:ascii="Times New Roman" w:hAnsi="Times New Roman" w:cs="Times New Roman"/>
          <w:color w:val="000000"/>
          <w:sz w:val="24"/>
          <w:szCs w:val="24"/>
        </w:rPr>
        <w:t>esota Department of Agriculture</w:t>
      </w:r>
    </w:p>
    <w:p w:rsidR="005E7000" w:rsidRPr="00565178" w:rsidRDefault="005E7000" w:rsidP="005E7000">
      <w:pPr>
        <w:spacing w:after="0"/>
        <w:ind w:left="4320" w:hanging="4320"/>
        <w:rPr>
          <w:rFonts w:ascii="Times New Roman" w:hAnsi="Times New Roman" w:cs="Times New Roman"/>
          <w:color w:val="000000"/>
          <w:sz w:val="24"/>
          <w:szCs w:val="24"/>
        </w:rPr>
      </w:pPr>
      <w:r w:rsidRPr="00565178">
        <w:rPr>
          <w:rFonts w:ascii="Times New Roman" w:hAnsi="Times New Roman" w:cs="Times New Roman"/>
          <w:color w:val="000000"/>
          <w:sz w:val="24"/>
          <w:szCs w:val="24"/>
        </w:rPr>
        <w:t>625 Robert Street North</w:t>
      </w:r>
    </w:p>
    <w:p w:rsidR="00DA7BCE" w:rsidRPr="00565178" w:rsidRDefault="00DA7BCE" w:rsidP="005E7000">
      <w:pPr>
        <w:spacing w:after="0"/>
        <w:ind w:left="4320" w:hanging="4320"/>
        <w:rPr>
          <w:rFonts w:ascii="Times New Roman" w:hAnsi="Times New Roman" w:cs="Times New Roman"/>
          <w:color w:val="000000"/>
          <w:sz w:val="24"/>
          <w:szCs w:val="24"/>
        </w:rPr>
      </w:pPr>
      <w:r w:rsidRPr="00565178">
        <w:rPr>
          <w:rFonts w:ascii="Times New Roman" w:hAnsi="Times New Roman" w:cs="Times New Roman"/>
          <w:color w:val="000000"/>
          <w:sz w:val="24"/>
          <w:szCs w:val="24"/>
        </w:rPr>
        <w:t>St. Paul, MN  55155</w:t>
      </w:r>
    </w:p>
    <w:p w:rsidR="00DA7BCE" w:rsidRPr="00565178" w:rsidRDefault="00DA7BCE" w:rsidP="005E7000">
      <w:pPr>
        <w:spacing w:after="0"/>
        <w:rPr>
          <w:rFonts w:ascii="Times New Roman" w:hAnsi="Times New Roman" w:cs="Times New Roman"/>
          <w:sz w:val="24"/>
          <w:szCs w:val="24"/>
          <w:u w:val="single"/>
        </w:rPr>
      </w:pPr>
    </w:p>
    <w:p w:rsidR="005E7000" w:rsidRPr="00565178" w:rsidRDefault="005E7000" w:rsidP="005E7000">
      <w:pPr>
        <w:spacing w:after="0"/>
        <w:rPr>
          <w:rFonts w:ascii="Times New Roman" w:hAnsi="Times New Roman" w:cs="Times New Roman"/>
          <w:sz w:val="24"/>
          <w:szCs w:val="24"/>
        </w:rPr>
      </w:pPr>
      <w:r w:rsidRPr="00565178">
        <w:rPr>
          <w:rFonts w:ascii="Times New Roman" w:hAnsi="Times New Roman" w:cs="Times New Roman"/>
          <w:sz w:val="24"/>
          <w:szCs w:val="24"/>
        </w:rPr>
        <w:t>Dear Mr. Gunderson,</w:t>
      </w:r>
    </w:p>
    <w:p w:rsidR="00D572CD" w:rsidRPr="00565178" w:rsidRDefault="00D572CD" w:rsidP="005E7000">
      <w:pPr>
        <w:spacing w:after="0"/>
        <w:rPr>
          <w:rFonts w:ascii="Times New Roman" w:hAnsi="Times New Roman" w:cs="Times New Roman"/>
          <w:sz w:val="24"/>
          <w:szCs w:val="24"/>
        </w:rPr>
      </w:pPr>
    </w:p>
    <w:p w:rsidR="00D572CD" w:rsidRPr="00565178" w:rsidRDefault="00D572CD" w:rsidP="005E7000">
      <w:pPr>
        <w:spacing w:after="0"/>
        <w:rPr>
          <w:rFonts w:ascii="Times New Roman" w:hAnsi="Times New Roman" w:cs="Times New Roman"/>
          <w:sz w:val="24"/>
          <w:szCs w:val="24"/>
        </w:rPr>
      </w:pPr>
      <w:r w:rsidRPr="00565178">
        <w:rPr>
          <w:rFonts w:ascii="Times New Roman" w:hAnsi="Times New Roman" w:cs="Times New Roman"/>
          <w:sz w:val="24"/>
          <w:szCs w:val="24"/>
        </w:rPr>
        <w:t>This letter is in response to the MDA’s informal request for comments on the proposed nitrogen fertilizer rule. After numerous meetings and interactions between Minnesota Crop Production Retailers members</w:t>
      </w:r>
      <w:r w:rsidR="00565178">
        <w:rPr>
          <w:rFonts w:ascii="Times New Roman" w:hAnsi="Times New Roman" w:cs="Times New Roman"/>
          <w:sz w:val="24"/>
          <w:szCs w:val="24"/>
        </w:rPr>
        <w:t>, Certified Crop Advisors,</w:t>
      </w:r>
      <w:r w:rsidRPr="00565178">
        <w:rPr>
          <w:rFonts w:ascii="Times New Roman" w:hAnsi="Times New Roman" w:cs="Times New Roman"/>
          <w:sz w:val="24"/>
          <w:szCs w:val="24"/>
        </w:rPr>
        <w:t xml:space="preserve"> and the Minnesota Department of Agricultur</w:t>
      </w:r>
      <w:r w:rsidR="00591BD1">
        <w:rPr>
          <w:rFonts w:ascii="Times New Roman" w:hAnsi="Times New Roman" w:cs="Times New Roman"/>
          <w:sz w:val="24"/>
          <w:szCs w:val="24"/>
        </w:rPr>
        <w:t>e representatives, we have four</w:t>
      </w:r>
      <w:r w:rsidRPr="00565178">
        <w:rPr>
          <w:rFonts w:ascii="Times New Roman" w:hAnsi="Times New Roman" w:cs="Times New Roman"/>
          <w:sz w:val="24"/>
          <w:szCs w:val="24"/>
        </w:rPr>
        <w:t xml:space="preserve"> major recommendations:</w:t>
      </w:r>
    </w:p>
    <w:p w:rsidR="00D572CD" w:rsidRPr="00565178" w:rsidRDefault="00D572CD" w:rsidP="005E7000">
      <w:pPr>
        <w:spacing w:after="0"/>
        <w:rPr>
          <w:rFonts w:ascii="Times New Roman" w:hAnsi="Times New Roman" w:cs="Times New Roman"/>
          <w:sz w:val="24"/>
          <w:szCs w:val="24"/>
        </w:rPr>
      </w:pPr>
    </w:p>
    <w:p w:rsidR="00D572CD" w:rsidRPr="00565178" w:rsidRDefault="00D572CD" w:rsidP="00D572CD">
      <w:pPr>
        <w:spacing w:after="0"/>
        <w:rPr>
          <w:rFonts w:ascii="Times New Roman" w:hAnsi="Times New Roman" w:cs="Times New Roman"/>
          <w:sz w:val="24"/>
          <w:szCs w:val="24"/>
        </w:rPr>
      </w:pPr>
    </w:p>
    <w:p w:rsidR="00D572CD" w:rsidRPr="00565178" w:rsidRDefault="00D572CD" w:rsidP="00D572CD">
      <w:pPr>
        <w:pStyle w:val="ListParagraph"/>
        <w:numPr>
          <w:ilvl w:val="1"/>
          <w:numId w:val="8"/>
        </w:numPr>
        <w:spacing w:after="0"/>
        <w:rPr>
          <w:rFonts w:ascii="Times New Roman" w:hAnsi="Times New Roman" w:cs="Times New Roman"/>
          <w:sz w:val="24"/>
          <w:szCs w:val="24"/>
        </w:rPr>
      </w:pPr>
      <w:r w:rsidRPr="00565178">
        <w:rPr>
          <w:rFonts w:ascii="Times New Roman" w:hAnsi="Times New Roman" w:cs="Times New Roman"/>
          <w:sz w:val="24"/>
          <w:szCs w:val="24"/>
        </w:rPr>
        <w:t>Eliminate P</w:t>
      </w:r>
      <w:r w:rsidR="00591BD1">
        <w:rPr>
          <w:rFonts w:ascii="Times New Roman" w:hAnsi="Times New Roman" w:cs="Times New Roman"/>
          <w:sz w:val="24"/>
          <w:szCs w:val="24"/>
        </w:rPr>
        <w:t>art 1</w:t>
      </w:r>
      <w:r w:rsidRPr="00565178">
        <w:rPr>
          <w:rFonts w:ascii="Times New Roman" w:hAnsi="Times New Roman" w:cs="Times New Roman"/>
          <w:sz w:val="24"/>
          <w:szCs w:val="24"/>
        </w:rPr>
        <w:t xml:space="preserve"> of the proposed rule. </w:t>
      </w:r>
    </w:p>
    <w:p w:rsidR="00D572CD" w:rsidRPr="00565178" w:rsidRDefault="00D572CD" w:rsidP="00D572CD">
      <w:pPr>
        <w:pStyle w:val="ListParagraph"/>
        <w:numPr>
          <w:ilvl w:val="1"/>
          <w:numId w:val="8"/>
        </w:numPr>
        <w:spacing w:after="0"/>
        <w:rPr>
          <w:rFonts w:ascii="Times New Roman" w:hAnsi="Times New Roman" w:cs="Times New Roman"/>
          <w:sz w:val="24"/>
          <w:szCs w:val="24"/>
        </w:rPr>
      </w:pPr>
      <w:r w:rsidRPr="00565178">
        <w:rPr>
          <w:rFonts w:ascii="Times New Roman" w:hAnsi="Times New Roman" w:cs="Times New Roman"/>
          <w:sz w:val="24"/>
          <w:szCs w:val="24"/>
        </w:rPr>
        <w:t>Increase support for continued BMP development and implementation</w:t>
      </w:r>
      <w:r w:rsidR="00565178">
        <w:rPr>
          <w:rFonts w:ascii="Times New Roman" w:hAnsi="Times New Roman" w:cs="Times New Roman"/>
          <w:sz w:val="24"/>
          <w:szCs w:val="24"/>
        </w:rPr>
        <w:t xml:space="preserve"> while recognizing that precision agriculture adoption is a primary vehicle which modern production agriculture is utilizing to improve fertilizer use efficiency and substantially reduce environmental risk including ground water.</w:t>
      </w:r>
    </w:p>
    <w:p w:rsidR="005E7000" w:rsidRPr="00591BD1" w:rsidRDefault="00D572CD" w:rsidP="00301A0F">
      <w:pPr>
        <w:pStyle w:val="ListParagraph"/>
        <w:numPr>
          <w:ilvl w:val="1"/>
          <w:numId w:val="8"/>
        </w:numPr>
        <w:spacing w:after="0"/>
        <w:rPr>
          <w:rFonts w:ascii="Times New Roman" w:hAnsi="Times New Roman" w:cs="Times New Roman"/>
          <w:sz w:val="24"/>
          <w:szCs w:val="24"/>
          <w:u w:val="single"/>
        </w:rPr>
      </w:pPr>
      <w:r w:rsidRPr="00591BD1">
        <w:rPr>
          <w:rFonts w:ascii="Times New Roman" w:hAnsi="Times New Roman" w:cs="Times New Roman"/>
          <w:sz w:val="24"/>
          <w:szCs w:val="24"/>
        </w:rPr>
        <w:t xml:space="preserve">Refine the township testing program to ensure that results reflect actual groundwater conditions without the influence of well condition problems </w:t>
      </w:r>
    </w:p>
    <w:p w:rsidR="00591BD1" w:rsidRPr="00591BD1" w:rsidRDefault="00591BD1" w:rsidP="00301A0F">
      <w:pPr>
        <w:pStyle w:val="ListParagraph"/>
        <w:numPr>
          <w:ilvl w:val="1"/>
          <w:numId w:val="8"/>
        </w:numPr>
        <w:spacing w:after="0"/>
        <w:rPr>
          <w:rFonts w:ascii="Times New Roman" w:hAnsi="Times New Roman" w:cs="Times New Roman"/>
          <w:sz w:val="24"/>
          <w:szCs w:val="24"/>
          <w:u w:val="single"/>
        </w:rPr>
      </w:pPr>
      <w:r>
        <w:rPr>
          <w:rFonts w:ascii="Times New Roman" w:hAnsi="Times New Roman" w:cs="Times New Roman"/>
          <w:sz w:val="24"/>
          <w:szCs w:val="24"/>
        </w:rPr>
        <w:t xml:space="preserve">If Part 1 is not </w:t>
      </w:r>
      <w:r w:rsidR="006F0451">
        <w:rPr>
          <w:rFonts w:ascii="Times New Roman" w:hAnsi="Times New Roman" w:cs="Times New Roman"/>
          <w:sz w:val="24"/>
          <w:szCs w:val="24"/>
        </w:rPr>
        <w:t>eliminated</w:t>
      </w:r>
      <w:r>
        <w:rPr>
          <w:rFonts w:ascii="Times New Roman" w:hAnsi="Times New Roman" w:cs="Times New Roman"/>
          <w:sz w:val="24"/>
          <w:szCs w:val="24"/>
        </w:rPr>
        <w:t xml:space="preserve">, we highly recommend MDA substantially change the fall P limitations. </w:t>
      </w:r>
    </w:p>
    <w:p w:rsidR="005E7000" w:rsidRPr="00565178" w:rsidRDefault="005E7000" w:rsidP="005E7000">
      <w:pPr>
        <w:spacing w:after="0"/>
        <w:rPr>
          <w:rFonts w:ascii="Times New Roman" w:hAnsi="Times New Roman" w:cs="Times New Roman"/>
          <w:sz w:val="24"/>
          <w:szCs w:val="24"/>
        </w:rPr>
      </w:pPr>
    </w:p>
    <w:p w:rsidR="00F963E0" w:rsidRPr="00565178" w:rsidRDefault="00F963E0" w:rsidP="005E7000">
      <w:pPr>
        <w:spacing w:after="0"/>
        <w:rPr>
          <w:rFonts w:ascii="Times New Roman" w:hAnsi="Times New Roman" w:cs="Times New Roman"/>
          <w:sz w:val="24"/>
          <w:szCs w:val="24"/>
        </w:rPr>
      </w:pPr>
      <w:bookmarkStart w:id="2" w:name="_Hlk487538605"/>
      <w:r w:rsidRPr="00565178">
        <w:rPr>
          <w:rFonts w:ascii="Times New Roman" w:hAnsi="Times New Roman" w:cs="Times New Roman"/>
          <w:sz w:val="24"/>
          <w:szCs w:val="24"/>
        </w:rPr>
        <w:t>Minnesota fertilizer retailers</w:t>
      </w:r>
      <w:r w:rsidR="003B476C" w:rsidRPr="00565178">
        <w:rPr>
          <w:rFonts w:ascii="Times New Roman" w:hAnsi="Times New Roman" w:cs="Times New Roman"/>
          <w:sz w:val="24"/>
          <w:szCs w:val="24"/>
        </w:rPr>
        <w:t>, agronomist, certified crop advisors</w:t>
      </w:r>
      <w:r w:rsidR="00591BD1">
        <w:rPr>
          <w:rFonts w:ascii="Times New Roman" w:hAnsi="Times New Roman" w:cs="Times New Roman"/>
          <w:sz w:val="24"/>
          <w:szCs w:val="24"/>
        </w:rPr>
        <w:t xml:space="preserve">, and growers </w:t>
      </w:r>
      <w:r w:rsidRPr="00565178">
        <w:rPr>
          <w:rFonts w:ascii="Times New Roman" w:hAnsi="Times New Roman" w:cs="Times New Roman"/>
          <w:sz w:val="24"/>
          <w:szCs w:val="24"/>
        </w:rPr>
        <w:t>are committed to helping ensure the safety of drinking water, now and into the future</w:t>
      </w:r>
      <w:r w:rsidR="005E7000" w:rsidRPr="00565178">
        <w:rPr>
          <w:rFonts w:ascii="Times New Roman" w:hAnsi="Times New Roman" w:cs="Times New Roman"/>
          <w:sz w:val="24"/>
          <w:szCs w:val="24"/>
        </w:rPr>
        <w:t>. They</w:t>
      </w:r>
      <w:r w:rsidRPr="00565178">
        <w:rPr>
          <w:rFonts w:ascii="Times New Roman" w:hAnsi="Times New Roman" w:cs="Times New Roman"/>
          <w:sz w:val="24"/>
          <w:szCs w:val="24"/>
        </w:rPr>
        <w:t xml:space="preserve"> are also committed to continuing t</w:t>
      </w:r>
      <w:r w:rsidR="005E7000" w:rsidRPr="00565178">
        <w:rPr>
          <w:rFonts w:ascii="Times New Roman" w:hAnsi="Times New Roman" w:cs="Times New Roman"/>
          <w:sz w:val="24"/>
          <w:szCs w:val="24"/>
        </w:rPr>
        <w:t xml:space="preserve">o provide for a hungry world. </w:t>
      </w:r>
      <w:r w:rsidR="003B476C" w:rsidRPr="00565178">
        <w:rPr>
          <w:rFonts w:ascii="Times New Roman" w:hAnsi="Times New Roman" w:cs="Times New Roman"/>
          <w:sz w:val="24"/>
          <w:szCs w:val="24"/>
        </w:rPr>
        <w:t>S</w:t>
      </w:r>
      <w:r w:rsidRPr="00565178">
        <w:rPr>
          <w:rFonts w:ascii="Times New Roman" w:hAnsi="Times New Roman" w:cs="Times New Roman"/>
          <w:sz w:val="24"/>
          <w:szCs w:val="24"/>
        </w:rPr>
        <w:t xml:space="preserve">afe drinking water and a prosperous agricultural industry can </w:t>
      </w:r>
      <w:r w:rsidR="003B476C" w:rsidRPr="00565178">
        <w:rPr>
          <w:rFonts w:ascii="Times New Roman" w:hAnsi="Times New Roman" w:cs="Times New Roman"/>
          <w:sz w:val="24"/>
          <w:szCs w:val="24"/>
        </w:rPr>
        <w:t xml:space="preserve">co-exist, in fact, they must. </w:t>
      </w:r>
    </w:p>
    <w:p w:rsidR="005E7000" w:rsidRPr="00565178" w:rsidRDefault="005E7000" w:rsidP="005E7000">
      <w:pPr>
        <w:spacing w:after="0"/>
        <w:rPr>
          <w:rFonts w:ascii="Times New Roman" w:hAnsi="Times New Roman" w:cs="Times New Roman"/>
          <w:sz w:val="24"/>
          <w:szCs w:val="24"/>
        </w:rPr>
      </w:pPr>
    </w:p>
    <w:p w:rsidR="00DA0859" w:rsidRDefault="005E7000" w:rsidP="005E7000">
      <w:pPr>
        <w:spacing w:after="0"/>
        <w:rPr>
          <w:rFonts w:ascii="Times New Roman" w:hAnsi="Times New Roman" w:cs="Times New Roman"/>
          <w:sz w:val="24"/>
          <w:szCs w:val="24"/>
        </w:rPr>
      </w:pPr>
      <w:r w:rsidRPr="00565178">
        <w:rPr>
          <w:rFonts w:ascii="Times New Roman" w:hAnsi="Times New Roman" w:cs="Times New Roman"/>
          <w:sz w:val="24"/>
          <w:szCs w:val="24"/>
        </w:rPr>
        <w:t xml:space="preserve">While </w:t>
      </w:r>
      <w:r w:rsidR="003B476C" w:rsidRPr="00565178">
        <w:rPr>
          <w:rFonts w:ascii="Times New Roman" w:hAnsi="Times New Roman" w:cs="Times New Roman"/>
          <w:sz w:val="24"/>
          <w:szCs w:val="24"/>
        </w:rPr>
        <w:t>MCPR supports</w:t>
      </w:r>
      <w:r w:rsidR="00F963E0" w:rsidRPr="00565178">
        <w:rPr>
          <w:rFonts w:ascii="Times New Roman" w:hAnsi="Times New Roman" w:cs="Times New Roman"/>
          <w:sz w:val="24"/>
          <w:szCs w:val="24"/>
        </w:rPr>
        <w:t xml:space="preserve"> the stated intent of the proposed rule to help insure that nitrogen fertilizers are used as efficiently as is practicable</w:t>
      </w:r>
      <w:r w:rsidR="00B82DE8">
        <w:rPr>
          <w:rFonts w:ascii="Times New Roman" w:hAnsi="Times New Roman" w:cs="Times New Roman"/>
          <w:sz w:val="24"/>
          <w:szCs w:val="24"/>
        </w:rPr>
        <w:t>, we</w:t>
      </w:r>
      <w:r w:rsidRPr="00565178">
        <w:rPr>
          <w:rFonts w:ascii="Times New Roman" w:hAnsi="Times New Roman" w:cs="Times New Roman"/>
          <w:sz w:val="24"/>
          <w:szCs w:val="24"/>
        </w:rPr>
        <w:t xml:space="preserve"> strongly disagree with</w:t>
      </w:r>
      <w:r w:rsidR="006D63DC">
        <w:rPr>
          <w:rFonts w:ascii="Times New Roman" w:hAnsi="Times New Roman" w:cs="Times New Roman"/>
          <w:sz w:val="24"/>
          <w:szCs w:val="24"/>
        </w:rPr>
        <w:t xml:space="preserve"> the approach taken in Part 1 </w:t>
      </w:r>
      <w:r w:rsidRPr="00565178">
        <w:rPr>
          <w:rFonts w:ascii="Times New Roman" w:hAnsi="Times New Roman" w:cs="Times New Roman"/>
          <w:sz w:val="24"/>
          <w:szCs w:val="24"/>
        </w:rPr>
        <w:t>of the proposed rule</w:t>
      </w:r>
      <w:r w:rsidR="00F963E0" w:rsidRPr="00565178">
        <w:rPr>
          <w:rFonts w:ascii="Times New Roman" w:hAnsi="Times New Roman" w:cs="Times New Roman"/>
          <w:sz w:val="24"/>
          <w:szCs w:val="24"/>
        </w:rPr>
        <w:t xml:space="preserve">. </w:t>
      </w:r>
      <w:r w:rsidRPr="00565178">
        <w:rPr>
          <w:rFonts w:ascii="Times New Roman" w:hAnsi="Times New Roman" w:cs="Times New Roman"/>
          <w:sz w:val="24"/>
          <w:szCs w:val="24"/>
        </w:rPr>
        <w:t>As has been frequently stated by MDA staff at the listening sessions regarding the proposed rule,</w:t>
      </w:r>
      <w:r w:rsidR="00DA0859" w:rsidRPr="00565178">
        <w:rPr>
          <w:rFonts w:ascii="Times New Roman" w:hAnsi="Times New Roman" w:cs="Times New Roman"/>
          <w:sz w:val="24"/>
          <w:szCs w:val="24"/>
        </w:rPr>
        <w:t xml:space="preserve"> farmers are already adopting the “right time” recommendations as promoted through the fertilizer industry’s 4R program and supported by University of Minnesota research at a very high rate on those soils generally considered to be vulnerable to g</w:t>
      </w:r>
      <w:r w:rsidR="005403A0">
        <w:rPr>
          <w:rFonts w:ascii="Times New Roman" w:hAnsi="Times New Roman" w:cs="Times New Roman"/>
          <w:sz w:val="24"/>
          <w:szCs w:val="24"/>
        </w:rPr>
        <w:t>roundwater contamination. There is no need for Part 1</w:t>
      </w:r>
      <w:r w:rsidR="00DA0859" w:rsidRPr="00565178">
        <w:rPr>
          <w:rFonts w:ascii="Times New Roman" w:hAnsi="Times New Roman" w:cs="Times New Roman"/>
          <w:sz w:val="24"/>
          <w:szCs w:val="24"/>
        </w:rPr>
        <w:t xml:space="preserve"> of the proposed rule. </w:t>
      </w:r>
    </w:p>
    <w:p w:rsidR="005403A0" w:rsidRDefault="005403A0" w:rsidP="005E7000">
      <w:pPr>
        <w:spacing w:after="0"/>
        <w:rPr>
          <w:rFonts w:ascii="Times New Roman" w:hAnsi="Times New Roman" w:cs="Times New Roman"/>
          <w:sz w:val="24"/>
          <w:szCs w:val="24"/>
        </w:rPr>
      </w:pPr>
    </w:p>
    <w:p w:rsidR="005403A0" w:rsidRPr="00565178" w:rsidRDefault="005403A0" w:rsidP="005E7000">
      <w:pPr>
        <w:spacing w:after="0"/>
        <w:rPr>
          <w:rFonts w:ascii="Times New Roman" w:hAnsi="Times New Roman" w:cs="Times New Roman"/>
          <w:sz w:val="24"/>
          <w:szCs w:val="24"/>
        </w:rPr>
      </w:pPr>
      <w:r>
        <w:rPr>
          <w:rFonts w:ascii="Times New Roman" w:hAnsi="Times New Roman" w:cs="Times New Roman"/>
          <w:sz w:val="24"/>
          <w:szCs w:val="24"/>
        </w:rPr>
        <w:t xml:space="preserve">Furthermore, Part 1 </w:t>
      </w:r>
      <w:r w:rsidR="00F75BCF">
        <w:rPr>
          <w:rFonts w:ascii="Times New Roman" w:hAnsi="Times New Roman" w:cs="Times New Roman"/>
          <w:sz w:val="24"/>
          <w:szCs w:val="24"/>
        </w:rPr>
        <w:t>may</w:t>
      </w:r>
      <w:r w:rsidR="00412F76">
        <w:rPr>
          <w:rFonts w:ascii="Times New Roman" w:hAnsi="Times New Roman" w:cs="Times New Roman"/>
          <w:sz w:val="24"/>
          <w:szCs w:val="24"/>
        </w:rPr>
        <w:t xml:space="preserve"> serve to increase water pollution as an unintended consequence. </w:t>
      </w:r>
      <w:r>
        <w:rPr>
          <w:rFonts w:ascii="Times New Roman" w:hAnsi="Times New Roman" w:cs="Times New Roman"/>
          <w:sz w:val="24"/>
          <w:szCs w:val="24"/>
        </w:rPr>
        <w:t>MDA staff have heard testimon</w:t>
      </w:r>
      <w:r w:rsidR="00412F76">
        <w:rPr>
          <w:rFonts w:ascii="Times New Roman" w:hAnsi="Times New Roman" w:cs="Times New Roman"/>
          <w:sz w:val="24"/>
          <w:szCs w:val="24"/>
        </w:rPr>
        <w:t>y that portions of</w:t>
      </w:r>
      <w:r>
        <w:rPr>
          <w:rFonts w:ascii="Times New Roman" w:hAnsi="Times New Roman" w:cs="Times New Roman"/>
          <w:sz w:val="24"/>
          <w:szCs w:val="24"/>
        </w:rPr>
        <w:t xml:space="preserve"> Part 1 of the proposed rule will encourage less precise placement of soil nutrients according to the nutrient need of each portion of the field which will motivate growers to select less precise application, reduced cost application products and services and thereby actually decrea</w:t>
      </w:r>
      <w:r w:rsidR="00412F76">
        <w:rPr>
          <w:rFonts w:ascii="Times New Roman" w:hAnsi="Times New Roman" w:cs="Times New Roman"/>
          <w:sz w:val="24"/>
          <w:szCs w:val="24"/>
        </w:rPr>
        <w:t>se</w:t>
      </w:r>
      <w:r>
        <w:rPr>
          <w:rFonts w:ascii="Times New Roman" w:hAnsi="Times New Roman" w:cs="Times New Roman"/>
          <w:sz w:val="24"/>
          <w:szCs w:val="24"/>
        </w:rPr>
        <w:t xml:space="preserve"> nutrient efficiency and incre</w:t>
      </w:r>
      <w:r w:rsidR="00412F76">
        <w:rPr>
          <w:rFonts w:ascii="Times New Roman" w:hAnsi="Times New Roman" w:cs="Times New Roman"/>
          <w:sz w:val="24"/>
          <w:szCs w:val="24"/>
        </w:rPr>
        <w:t>ase</w:t>
      </w:r>
      <w:r>
        <w:rPr>
          <w:rFonts w:ascii="Times New Roman" w:hAnsi="Times New Roman" w:cs="Times New Roman"/>
          <w:sz w:val="24"/>
          <w:szCs w:val="24"/>
        </w:rPr>
        <w:t xml:space="preserve"> water </w:t>
      </w:r>
      <w:r w:rsidR="00412F76">
        <w:rPr>
          <w:rFonts w:ascii="Times New Roman" w:hAnsi="Times New Roman" w:cs="Times New Roman"/>
          <w:sz w:val="24"/>
          <w:szCs w:val="24"/>
        </w:rPr>
        <w:t xml:space="preserve">pollution in some </w:t>
      </w:r>
      <w:r w:rsidR="00412F76">
        <w:rPr>
          <w:rFonts w:ascii="Times New Roman" w:hAnsi="Times New Roman" w:cs="Times New Roman"/>
          <w:sz w:val="24"/>
          <w:szCs w:val="24"/>
        </w:rPr>
        <w:lastRenderedPageBreak/>
        <w:t>cases. MDA could well move “backward” precision agricultural advances rather than promote more advanced nutrient practices.</w:t>
      </w:r>
    </w:p>
    <w:p w:rsidR="00DA0859" w:rsidRPr="00565178" w:rsidRDefault="00DA0859" w:rsidP="005E7000">
      <w:pPr>
        <w:spacing w:after="0"/>
        <w:rPr>
          <w:rFonts w:ascii="Times New Roman" w:hAnsi="Times New Roman" w:cs="Times New Roman"/>
          <w:sz w:val="24"/>
          <w:szCs w:val="24"/>
        </w:rPr>
      </w:pPr>
    </w:p>
    <w:p w:rsidR="00DA0859" w:rsidRPr="00565178" w:rsidRDefault="00DA0859" w:rsidP="005E7000">
      <w:pPr>
        <w:spacing w:after="0"/>
        <w:rPr>
          <w:rFonts w:ascii="Times New Roman" w:hAnsi="Times New Roman" w:cs="Times New Roman"/>
          <w:sz w:val="24"/>
          <w:szCs w:val="24"/>
        </w:rPr>
      </w:pPr>
      <w:r w:rsidRPr="00565178">
        <w:rPr>
          <w:rFonts w:ascii="Times New Roman" w:hAnsi="Times New Roman" w:cs="Times New Roman"/>
          <w:sz w:val="24"/>
          <w:szCs w:val="24"/>
        </w:rPr>
        <w:t xml:space="preserve">At your listening sessions, you have heard loudly and clearly from many farmers and agronomy professionals expressing concerns with the Ksat approach outlined in the proposed rule. There are also concerns with the subjective definition of vulnerable soil based on bedrock or karst “near” the surface. </w:t>
      </w:r>
    </w:p>
    <w:p w:rsidR="00DA0859" w:rsidRPr="00565178" w:rsidRDefault="00DA0859" w:rsidP="005E7000">
      <w:pPr>
        <w:spacing w:after="0"/>
        <w:rPr>
          <w:rFonts w:ascii="Times New Roman" w:hAnsi="Times New Roman" w:cs="Times New Roman"/>
          <w:sz w:val="24"/>
          <w:szCs w:val="24"/>
        </w:rPr>
      </w:pPr>
    </w:p>
    <w:p w:rsidR="00DA0859" w:rsidRPr="00565178" w:rsidRDefault="00DA0859" w:rsidP="005E7000">
      <w:pPr>
        <w:spacing w:after="0"/>
        <w:rPr>
          <w:rFonts w:ascii="Times New Roman" w:hAnsi="Times New Roman" w:cs="Times New Roman"/>
          <w:sz w:val="24"/>
          <w:szCs w:val="24"/>
        </w:rPr>
      </w:pPr>
      <w:r w:rsidRPr="00565178">
        <w:rPr>
          <w:rFonts w:ascii="Times New Roman" w:hAnsi="Times New Roman" w:cs="Times New Roman"/>
          <w:sz w:val="24"/>
          <w:szCs w:val="24"/>
        </w:rPr>
        <w:t xml:space="preserve">You have also heard many examples of various </w:t>
      </w:r>
      <w:r w:rsidR="006D63DC">
        <w:rPr>
          <w:rFonts w:ascii="Times New Roman" w:hAnsi="Times New Roman" w:cs="Times New Roman"/>
          <w:sz w:val="24"/>
          <w:szCs w:val="24"/>
        </w:rPr>
        <w:t xml:space="preserve">farming </w:t>
      </w:r>
      <w:r w:rsidRPr="00565178">
        <w:rPr>
          <w:rFonts w:ascii="Times New Roman" w:hAnsi="Times New Roman" w:cs="Times New Roman"/>
          <w:sz w:val="24"/>
          <w:szCs w:val="24"/>
        </w:rPr>
        <w:t xml:space="preserve">practices being </w:t>
      </w:r>
      <w:r w:rsidR="006D63DC">
        <w:rPr>
          <w:rFonts w:ascii="Times New Roman" w:hAnsi="Times New Roman" w:cs="Times New Roman"/>
          <w:sz w:val="24"/>
          <w:szCs w:val="24"/>
        </w:rPr>
        <w:t>recommended</w:t>
      </w:r>
      <w:r w:rsidR="00DB3939">
        <w:rPr>
          <w:rFonts w:ascii="Times New Roman" w:hAnsi="Times New Roman" w:cs="Times New Roman"/>
          <w:sz w:val="24"/>
          <w:szCs w:val="24"/>
        </w:rPr>
        <w:t xml:space="preserve"> which are</w:t>
      </w:r>
      <w:r w:rsidR="006D63DC">
        <w:rPr>
          <w:rFonts w:ascii="Times New Roman" w:hAnsi="Times New Roman" w:cs="Times New Roman"/>
          <w:sz w:val="24"/>
          <w:szCs w:val="24"/>
        </w:rPr>
        <w:t xml:space="preserve"> </w:t>
      </w:r>
      <w:r w:rsidRPr="00565178">
        <w:rPr>
          <w:rFonts w:ascii="Times New Roman" w:hAnsi="Times New Roman" w:cs="Times New Roman"/>
          <w:sz w:val="24"/>
          <w:szCs w:val="24"/>
        </w:rPr>
        <w:t xml:space="preserve">used by farmers that encompass </w:t>
      </w:r>
      <w:r w:rsidR="00F75BCF" w:rsidRPr="00565178">
        <w:rPr>
          <w:rFonts w:ascii="Times New Roman" w:hAnsi="Times New Roman" w:cs="Times New Roman"/>
          <w:sz w:val="24"/>
          <w:szCs w:val="24"/>
        </w:rPr>
        <w:t>all</w:t>
      </w:r>
      <w:r w:rsidRPr="00565178">
        <w:rPr>
          <w:rFonts w:ascii="Times New Roman" w:hAnsi="Times New Roman" w:cs="Times New Roman"/>
          <w:sz w:val="24"/>
          <w:szCs w:val="24"/>
        </w:rPr>
        <w:t xml:space="preserve"> the 4R </w:t>
      </w:r>
      <w:r w:rsidR="00F75BCF" w:rsidRPr="00565178">
        <w:rPr>
          <w:rFonts w:ascii="Times New Roman" w:hAnsi="Times New Roman" w:cs="Times New Roman"/>
          <w:sz w:val="24"/>
          <w:szCs w:val="24"/>
        </w:rPr>
        <w:t>principles</w:t>
      </w:r>
      <w:r w:rsidR="00F75BCF">
        <w:rPr>
          <w:rFonts w:ascii="Times New Roman" w:hAnsi="Times New Roman" w:cs="Times New Roman"/>
          <w:sz w:val="24"/>
          <w:szCs w:val="24"/>
        </w:rPr>
        <w:t xml:space="preserve"> which include </w:t>
      </w:r>
      <w:r w:rsidR="00E41C24" w:rsidRPr="00565178">
        <w:rPr>
          <w:rFonts w:ascii="Times New Roman" w:hAnsi="Times New Roman" w:cs="Times New Roman"/>
          <w:sz w:val="24"/>
          <w:szCs w:val="24"/>
        </w:rPr>
        <w:t xml:space="preserve">the right rate at the right time in the right place using the right form of fertilizer. Building from a research base begun at land grant universities and now expanded to include industry and on-farm research, farmers continue to fine tune nitrogen rates, adjust timing and utilize products that reduce risk of nitrogen loss. Promotion of research </w:t>
      </w:r>
      <w:r w:rsidR="00640F05" w:rsidRPr="00565178">
        <w:rPr>
          <w:rFonts w:ascii="Times New Roman" w:hAnsi="Times New Roman" w:cs="Times New Roman"/>
          <w:sz w:val="24"/>
          <w:szCs w:val="24"/>
        </w:rPr>
        <w:t>and education to further develop and demonstrate beneficial nitrogen management practices has been effective in the past</w:t>
      </w:r>
      <w:r w:rsidR="005403A0">
        <w:rPr>
          <w:rFonts w:ascii="Times New Roman" w:hAnsi="Times New Roman" w:cs="Times New Roman"/>
          <w:sz w:val="24"/>
          <w:szCs w:val="24"/>
        </w:rPr>
        <w:t xml:space="preserve"> and strongly supported by Minnesota Agriculture through such voluntary efforts as the Agriculture Fertilizer Research and Education Council. we</w:t>
      </w:r>
      <w:r w:rsidR="00640F05" w:rsidRPr="00565178">
        <w:rPr>
          <w:rFonts w:ascii="Times New Roman" w:hAnsi="Times New Roman" w:cs="Times New Roman"/>
          <w:sz w:val="24"/>
          <w:szCs w:val="24"/>
        </w:rPr>
        <w:t xml:space="preserve"> believe that increased support for these efforts would do more to protect groundwater and improve farm s</w:t>
      </w:r>
      <w:r w:rsidR="005403A0">
        <w:rPr>
          <w:rFonts w:ascii="Times New Roman" w:hAnsi="Times New Roman" w:cs="Times New Roman"/>
          <w:sz w:val="24"/>
          <w:szCs w:val="24"/>
        </w:rPr>
        <w:t>ustainability than will Part 1</w:t>
      </w:r>
      <w:r w:rsidR="00640F05" w:rsidRPr="00565178">
        <w:rPr>
          <w:rFonts w:ascii="Times New Roman" w:hAnsi="Times New Roman" w:cs="Times New Roman"/>
          <w:sz w:val="24"/>
          <w:szCs w:val="24"/>
        </w:rPr>
        <w:t xml:space="preserve"> of the proposed rule. </w:t>
      </w:r>
    </w:p>
    <w:p w:rsidR="00640F05" w:rsidRPr="00565178" w:rsidRDefault="00640F05" w:rsidP="005E7000">
      <w:pPr>
        <w:spacing w:after="0"/>
        <w:rPr>
          <w:rFonts w:ascii="Times New Roman" w:hAnsi="Times New Roman" w:cs="Times New Roman"/>
          <w:sz w:val="24"/>
          <w:szCs w:val="24"/>
        </w:rPr>
      </w:pPr>
    </w:p>
    <w:p w:rsidR="00640F05" w:rsidRPr="00565178" w:rsidRDefault="005403A0" w:rsidP="005E7000">
      <w:pPr>
        <w:spacing w:after="0"/>
        <w:rPr>
          <w:rFonts w:ascii="Times New Roman" w:hAnsi="Times New Roman" w:cs="Times New Roman"/>
          <w:sz w:val="24"/>
          <w:szCs w:val="24"/>
        </w:rPr>
      </w:pPr>
      <w:r>
        <w:rPr>
          <w:rFonts w:ascii="Times New Roman" w:hAnsi="Times New Roman" w:cs="Times New Roman"/>
          <w:sz w:val="24"/>
          <w:szCs w:val="24"/>
        </w:rPr>
        <w:t xml:space="preserve">MCPR appointed ag professions who </w:t>
      </w:r>
      <w:r w:rsidR="00640F05" w:rsidRPr="00565178">
        <w:rPr>
          <w:rFonts w:ascii="Times New Roman" w:hAnsi="Times New Roman" w:cs="Times New Roman"/>
          <w:sz w:val="24"/>
          <w:szCs w:val="24"/>
        </w:rPr>
        <w:t>served on the task force that assisted the MDA in updating the Nitrog</w:t>
      </w:r>
      <w:r>
        <w:rPr>
          <w:rFonts w:ascii="Times New Roman" w:hAnsi="Times New Roman" w:cs="Times New Roman"/>
          <w:sz w:val="24"/>
          <w:szCs w:val="24"/>
        </w:rPr>
        <w:t xml:space="preserve">en Fertilizer Management </w:t>
      </w:r>
      <w:r w:rsidR="00F75BCF">
        <w:rPr>
          <w:rFonts w:ascii="Times New Roman" w:hAnsi="Times New Roman" w:cs="Times New Roman"/>
          <w:sz w:val="24"/>
          <w:szCs w:val="24"/>
        </w:rPr>
        <w:t>Plan.</w:t>
      </w:r>
      <w:r>
        <w:rPr>
          <w:rFonts w:ascii="Times New Roman" w:hAnsi="Times New Roman" w:cs="Times New Roman"/>
          <w:sz w:val="24"/>
          <w:szCs w:val="24"/>
        </w:rPr>
        <w:t xml:space="preserve"> We believe that </w:t>
      </w:r>
      <w:r w:rsidR="00640F05" w:rsidRPr="00565178">
        <w:rPr>
          <w:rFonts w:ascii="Times New Roman" w:hAnsi="Times New Roman" w:cs="Times New Roman"/>
          <w:sz w:val="24"/>
          <w:szCs w:val="24"/>
        </w:rPr>
        <w:t xml:space="preserve">during the lengthy discussion that took place over about two years and 18 meetings, great emphasis was brought to creating a statewide framework only from the perspective of addressing groundwater nitrate issues wherever they occur in the state, with any remediation efforts focused on the </w:t>
      </w:r>
      <w:r w:rsidR="002A67D6" w:rsidRPr="00565178">
        <w:rPr>
          <w:rFonts w:ascii="Times New Roman" w:hAnsi="Times New Roman" w:cs="Times New Roman"/>
          <w:sz w:val="24"/>
          <w:szCs w:val="24"/>
        </w:rPr>
        <w:t xml:space="preserve">specific areas where groundwater nitrate levels are elevated as outlined in part two of the proposed rule. In fact, the question was asked several times, “will your efforts expand into areas beyond the irrigated sands and karst regions?” and the answer was always “no, we just don’t see problems there.” How then did we get to the vulnerable soils map associated with the proposed rule? </w:t>
      </w:r>
    </w:p>
    <w:p w:rsidR="002A67D6" w:rsidRPr="00565178" w:rsidRDefault="002A67D6" w:rsidP="005E7000">
      <w:pPr>
        <w:spacing w:after="0"/>
        <w:rPr>
          <w:rFonts w:ascii="Times New Roman" w:hAnsi="Times New Roman" w:cs="Times New Roman"/>
          <w:sz w:val="24"/>
          <w:szCs w:val="24"/>
        </w:rPr>
      </w:pPr>
    </w:p>
    <w:p w:rsidR="002A67D6" w:rsidRPr="00565178" w:rsidRDefault="002A67D6" w:rsidP="005E7000">
      <w:pPr>
        <w:spacing w:after="0"/>
        <w:rPr>
          <w:rFonts w:ascii="Times New Roman" w:hAnsi="Times New Roman" w:cs="Times New Roman"/>
          <w:sz w:val="24"/>
          <w:szCs w:val="24"/>
        </w:rPr>
      </w:pPr>
      <w:r w:rsidRPr="00565178">
        <w:rPr>
          <w:rFonts w:ascii="Times New Roman" w:hAnsi="Times New Roman" w:cs="Times New Roman"/>
          <w:sz w:val="24"/>
          <w:szCs w:val="24"/>
        </w:rPr>
        <w:t>Given the significant problems with the methods used to generate the vulnerable soils map, the most practica</w:t>
      </w:r>
      <w:r w:rsidR="005403A0">
        <w:rPr>
          <w:rFonts w:ascii="Times New Roman" w:hAnsi="Times New Roman" w:cs="Times New Roman"/>
          <w:sz w:val="24"/>
          <w:szCs w:val="24"/>
        </w:rPr>
        <w:t>l solution is to delete Part 1</w:t>
      </w:r>
      <w:r w:rsidRPr="00565178">
        <w:rPr>
          <w:rFonts w:ascii="Times New Roman" w:hAnsi="Times New Roman" w:cs="Times New Roman"/>
          <w:sz w:val="24"/>
          <w:szCs w:val="24"/>
        </w:rPr>
        <w:t xml:space="preserve"> of the proposed rule and all language associated with it entirely. </w:t>
      </w:r>
    </w:p>
    <w:p w:rsidR="00DA0859" w:rsidRPr="00565178" w:rsidRDefault="00DA0859" w:rsidP="005E7000">
      <w:pPr>
        <w:spacing w:after="0"/>
        <w:rPr>
          <w:rFonts w:ascii="Times New Roman" w:hAnsi="Times New Roman" w:cs="Times New Roman"/>
          <w:sz w:val="24"/>
          <w:szCs w:val="24"/>
        </w:rPr>
      </w:pPr>
    </w:p>
    <w:bookmarkEnd w:id="2"/>
    <w:p w:rsidR="002A67D6" w:rsidRPr="00565178" w:rsidRDefault="00CC2DDC" w:rsidP="005E7000">
      <w:pPr>
        <w:spacing w:after="0"/>
        <w:rPr>
          <w:rFonts w:ascii="Times New Roman" w:hAnsi="Times New Roman" w:cs="Times New Roman"/>
          <w:sz w:val="24"/>
          <w:szCs w:val="24"/>
        </w:rPr>
      </w:pPr>
      <w:r w:rsidRPr="00565178">
        <w:rPr>
          <w:rFonts w:ascii="Times New Roman" w:hAnsi="Times New Roman" w:cs="Times New Roman"/>
          <w:sz w:val="24"/>
          <w:szCs w:val="24"/>
        </w:rPr>
        <w:t>Throughout the development of the updated Nitrogen Fertilizer Management Plan and in the MDA’s presentations on the proposed rule, much emphasis has been placed on the involvement of local advisory teams, especially farmers and their nutrient ma</w:t>
      </w:r>
      <w:r w:rsidR="00685BB9" w:rsidRPr="00565178">
        <w:rPr>
          <w:rFonts w:ascii="Times New Roman" w:hAnsi="Times New Roman" w:cs="Times New Roman"/>
          <w:sz w:val="24"/>
          <w:szCs w:val="24"/>
        </w:rPr>
        <w:t>nagement advisors</w:t>
      </w:r>
      <w:r w:rsidR="002A67D6" w:rsidRPr="00565178">
        <w:rPr>
          <w:rFonts w:ascii="Times New Roman" w:hAnsi="Times New Roman" w:cs="Times New Roman"/>
          <w:sz w:val="24"/>
          <w:szCs w:val="24"/>
        </w:rPr>
        <w:t xml:space="preserve">. The </w:t>
      </w:r>
      <w:r w:rsidR="00536987" w:rsidRPr="00565178">
        <w:rPr>
          <w:rFonts w:ascii="Times New Roman" w:hAnsi="Times New Roman" w:cs="Times New Roman"/>
          <w:sz w:val="24"/>
          <w:szCs w:val="24"/>
        </w:rPr>
        <w:t>requirement that local advisory team members “provide support” to the commissioner for the implementation of the response activities</w:t>
      </w:r>
      <w:r w:rsidR="002A67D6" w:rsidRPr="00565178">
        <w:rPr>
          <w:rFonts w:ascii="Times New Roman" w:hAnsi="Times New Roman" w:cs="Times New Roman"/>
          <w:sz w:val="24"/>
          <w:szCs w:val="24"/>
        </w:rPr>
        <w:t xml:space="preserve"> should be deleted</w:t>
      </w:r>
      <w:r w:rsidR="00536987" w:rsidRPr="00565178">
        <w:rPr>
          <w:rFonts w:ascii="Times New Roman" w:hAnsi="Times New Roman" w:cs="Times New Roman"/>
          <w:sz w:val="24"/>
          <w:szCs w:val="24"/>
        </w:rPr>
        <w:t>. As stated in the name, the function of the team is to “advise” the commissioner, not provide funding for this regulatory program.</w:t>
      </w:r>
    </w:p>
    <w:p w:rsidR="00CC2DDC" w:rsidRPr="00565178" w:rsidRDefault="00536987" w:rsidP="005E7000">
      <w:pPr>
        <w:spacing w:after="0"/>
        <w:rPr>
          <w:rFonts w:ascii="Times New Roman" w:hAnsi="Times New Roman" w:cs="Times New Roman"/>
          <w:sz w:val="24"/>
          <w:szCs w:val="24"/>
        </w:rPr>
      </w:pPr>
      <w:r w:rsidRPr="00565178">
        <w:rPr>
          <w:rFonts w:ascii="Times New Roman" w:hAnsi="Times New Roman" w:cs="Times New Roman"/>
          <w:sz w:val="24"/>
          <w:szCs w:val="24"/>
        </w:rPr>
        <w:t xml:space="preserve"> </w:t>
      </w:r>
    </w:p>
    <w:p w:rsidR="00AC1BB4" w:rsidRPr="00565178" w:rsidRDefault="00F75BCF" w:rsidP="005E7000">
      <w:pPr>
        <w:spacing w:after="0"/>
        <w:rPr>
          <w:rFonts w:ascii="Times New Roman" w:hAnsi="Times New Roman" w:cs="Times New Roman"/>
          <w:sz w:val="24"/>
          <w:szCs w:val="24"/>
        </w:rPr>
      </w:pPr>
      <w:r w:rsidRPr="00565178">
        <w:rPr>
          <w:rFonts w:ascii="Times New Roman" w:hAnsi="Times New Roman" w:cs="Times New Roman"/>
          <w:sz w:val="24"/>
          <w:szCs w:val="24"/>
        </w:rPr>
        <w:t>About</w:t>
      </w:r>
      <w:r w:rsidR="002A67D6" w:rsidRPr="00565178">
        <w:rPr>
          <w:rFonts w:ascii="Times New Roman" w:hAnsi="Times New Roman" w:cs="Times New Roman"/>
          <w:sz w:val="24"/>
          <w:szCs w:val="24"/>
        </w:rPr>
        <w:t xml:space="preserve"> part two of the proposed rule, there are significant concerns with</w:t>
      </w:r>
      <w:r w:rsidR="00E47B17" w:rsidRPr="00565178">
        <w:rPr>
          <w:rFonts w:ascii="Times New Roman" w:hAnsi="Times New Roman" w:cs="Times New Roman"/>
          <w:sz w:val="24"/>
          <w:szCs w:val="24"/>
        </w:rPr>
        <w:t xml:space="preserve"> the current approach. First, the</w:t>
      </w:r>
      <w:r w:rsidR="00AC1BB4" w:rsidRPr="00565178">
        <w:rPr>
          <w:rFonts w:ascii="Times New Roman" w:hAnsi="Times New Roman" w:cs="Times New Roman"/>
          <w:sz w:val="24"/>
          <w:szCs w:val="24"/>
        </w:rPr>
        <w:t xml:space="preserve"> Township Testing Program County reports show that in some townships the number of wells is very small, sometimes due to a low number of wells and sometimes due to low </w:t>
      </w:r>
      <w:r w:rsidR="00AC1BB4" w:rsidRPr="00565178">
        <w:rPr>
          <w:rFonts w:ascii="Times New Roman" w:hAnsi="Times New Roman" w:cs="Times New Roman"/>
          <w:sz w:val="24"/>
          <w:szCs w:val="24"/>
        </w:rPr>
        <w:lastRenderedPageBreak/>
        <w:t xml:space="preserve">participation. We propose that the MDA put forth greater effort targeting those areas in Level 2, 3 and 4 to ensure that all residents are made aware of groundwater conditions in the county by requiring that at least 80% of wells in the township be tested and screened for potential non-fertilizer nitrate sources prior to level 2, 3 or 4 designations. </w:t>
      </w:r>
    </w:p>
    <w:p w:rsidR="00E47B17" w:rsidRPr="00565178" w:rsidRDefault="00E47B17" w:rsidP="005E7000">
      <w:pPr>
        <w:spacing w:after="0"/>
        <w:rPr>
          <w:rFonts w:ascii="Times New Roman" w:hAnsi="Times New Roman" w:cs="Times New Roman"/>
          <w:sz w:val="24"/>
          <w:szCs w:val="24"/>
        </w:rPr>
      </w:pPr>
    </w:p>
    <w:p w:rsidR="00AC1BB4" w:rsidRDefault="00E47B17" w:rsidP="005E7000">
      <w:pPr>
        <w:spacing w:after="0"/>
        <w:rPr>
          <w:rFonts w:ascii="Times New Roman" w:hAnsi="Times New Roman" w:cs="Times New Roman"/>
          <w:sz w:val="24"/>
          <w:szCs w:val="24"/>
        </w:rPr>
      </w:pPr>
      <w:r w:rsidRPr="00565178">
        <w:rPr>
          <w:rFonts w:ascii="Times New Roman" w:hAnsi="Times New Roman" w:cs="Times New Roman"/>
          <w:sz w:val="24"/>
          <w:szCs w:val="24"/>
        </w:rPr>
        <w:t>It is also very important that the MDA</w:t>
      </w:r>
      <w:r w:rsidR="00AC1BB4" w:rsidRPr="00565178">
        <w:rPr>
          <w:rFonts w:ascii="Times New Roman" w:hAnsi="Times New Roman" w:cs="Times New Roman"/>
          <w:sz w:val="24"/>
          <w:szCs w:val="24"/>
        </w:rPr>
        <w:t xml:space="preserve"> provide greater emphasis on the difference between initial and follow-up sampling, as first round results can be misleading. </w:t>
      </w:r>
      <w:r w:rsidR="00504CE0" w:rsidRPr="00565178">
        <w:rPr>
          <w:rFonts w:ascii="Times New Roman" w:hAnsi="Times New Roman" w:cs="Times New Roman"/>
          <w:sz w:val="24"/>
          <w:szCs w:val="24"/>
        </w:rPr>
        <w:t>It</w:t>
      </w:r>
      <w:r w:rsidRPr="00565178">
        <w:rPr>
          <w:rFonts w:ascii="Times New Roman" w:hAnsi="Times New Roman" w:cs="Times New Roman"/>
          <w:sz w:val="24"/>
          <w:szCs w:val="24"/>
        </w:rPr>
        <w:t xml:space="preserve"> is important for all residents in affected areas to know that their drinking water is safe. It</w:t>
      </w:r>
      <w:r w:rsidR="00504CE0" w:rsidRPr="00565178">
        <w:rPr>
          <w:rFonts w:ascii="Times New Roman" w:hAnsi="Times New Roman" w:cs="Times New Roman"/>
          <w:sz w:val="24"/>
          <w:szCs w:val="24"/>
        </w:rPr>
        <w:t xml:space="preserve"> is</w:t>
      </w:r>
      <w:r w:rsidRPr="00565178">
        <w:rPr>
          <w:rFonts w:ascii="Times New Roman" w:hAnsi="Times New Roman" w:cs="Times New Roman"/>
          <w:sz w:val="24"/>
          <w:szCs w:val="24"/>
        </w:rPr>
        <w:t xml:space="preserve"> also</w:t>
      </w:r>
      <w:r w:rsidR="00504CE0" w:rsidRPr="00565178">
        <w:rPr>
          <w:rFonts w:ascii="Times New Roman" w:hAnsi="Times New Roman" w:cs="Times New Roman"/>
          <w:sz w:val="24"/>
          <w:szCs w:val="24"/>
        </w:rPr>
        <w:t xml:space="preserve"> extremely important for all stakeholders to know that wells that may be influenced by nitrate sources other than fertilizer are NOT being used in the determination of mitigation level. </w:t>
      </w:r>
      <w:r w:rsidR="00191EC1" w:rsidRPr="00565178">
        <w:rPr>
          <w:rFonts w:ascii="Times New Roman" w:hAnsi="Times New Roman" w:cs="Times New Roman"/>
          <w:sz w:val="24"/>
          <w:szCs w:val="24"/>
        </w:rPr>
        <w:t xml:space="preserve">Township well testing reports should not be released until after round two testing has been completed and all ineligible wells have been removed from the </w:t>
      </w:r>
      <w:r w:rsidRPr="00565178">
        <w:rPr>
          <w:rFonts w:ascii="Times New Roman" w:hAnsi="Times New Roman" w:cs="Times New Roman"/>
          <w:sz w:val="24"/>
          <w:szCs w:val="24"/>
        </w:rPr>
        <w:t>calculation of mitigation level</w:t>
      </w:r>
      <w:r w:rsidR="00191EC1" w:rsidRPr="00565178">
        <w:rPr>
          <w:rFonts w:ascii="Times New Roman" w:hAnsi="Times New Roman" w:cs="Times New Roman"/>
          <w:sz w:val="24"/>
          <w:szCs w:val="24"/>
        </w:rPr>
        <w:t xml:space="preserve">. </w:t>
      </w:r>
    </w:p>
    <w:p w:rsidR="00591BD1" w:rsidRDefault="00591BD1" w:rsidP="005E7000">
      <w:pPr>
        <w:spacing w:after="0"/>
        <w:rPr>
          <w:rFonts w:ascii="Times New Roman" w:hAnsi="Times New Roman" w:cs="Times New Roman"/>
          <w:sz w:val="24"/>
          <w:szCs w:val="24"/>
        </w:rPr>
      </w:pPr>
    </w:p>
    <w:p w:rsidR="00591BD1" w:rsidRPr="00591BD1" w:rsidRDefault="00591BD1" w:rsidP="00591BD1">
      <w:pPr>
        <w:rPr>
          <w:rFonts w:ascii="Times New Roman" w:hAnsi="Times New Roman" w:cs="Times New Roman"/>
          <w:b/>
          <w:sz w:val="24"/>
          <w:szCs w:val="24"/>
        </w:rPr>
      </w:pPr>
      <w:r w:rsidRPr="00591BD1">
        <w:rPr>
          <w:rFonts w:ascii="Times New Roman" w:hAnsi="Times New Roman" w:cs="Times New Roman"/>
          <w:b/>
          <w:sz w:val="24"/>
          <w:szCs w:val="24"/>
        </w:rPr>
        <w:t>Subpart 2 C</w:t>
      </w:r>
    </w:p>
    <w:p w:rsidR="00591BD1" w:rsidRDefault="00591BD1" w:rsidP="00591BD1">
      <w:r w:rsidRPr="00591B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2323465</wp:posOffset>
                </wp:positionV>
                <wp:extent cx="6010275" cy="2571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6010275" cy="257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37499E0" id="Rectangle: Rounded Corners 9" o:spid="_x0000_s1026" style="position:absolute;margin-left:-4.5pt;margin-top:182.95pt;width:47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" filled="f" strokecolor="red" strokeweight="1pt">
                <v:stroke joinstyle="miter"/>
              </v:roundrect>
            </w:pict>
          </mc:Fallback>
        </mc:AlternateContent>
      </w:r>
      <w:r w:rsidRPr="00591BD1">
        <w:rPr>
          <w:rFonts w:ascii="Times New Roman" w:hAnsi="Times New Roman" w:cs="Times New Roman"/>
          <w:sz w:val="24"/>
          <w:szCs w:val="24"/>
        </w:rPr>
        <w:t>For some farmers, a common practice is the fall application of phosphate in a quantity that is sufficient to meet the needs of a 2-year corn/soybean crop rotation usually applied for the corn growing year.  This practice reduces fuel consumption, and soil compaction by reducing the number of trips across a field, and reduces time and labor costs.</w:t>
      </w:r>
      <w:r>
        <w:t xml:space="preserve">  </w:t>
      </w:r>
      <w:r>
        <w:rPr>
          <w:noProof/>
        </w:rPr>
        <w:drawing>
          <wp:inline distT="0" distB="0" distL="0" distR="0">
            <wp:extent cx="5948045" cy="24339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045" cy="2433955"/>
                    </a:xfrm>
                    <a:prstGeom prst="rect">
                      <a:avLst/>
                    </a:prstGeom>
                    <a:noFill/>
                    <a:ln>
                      <a:noFill/>
                    </a:ln>
                  </pic:spPr>
                </pic:pic>
              </a:graphicData>
            </a:graphic>
          </wp:inline>
        </w:drawing>
      </w:r>
    </w:p>
    <w:p w:rsidR="00591BD1" w:rsidRDefault="00591BD1" w:rsidP="00591BD1">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1666875</wp:posOffset>
                </wp:positionV>
                <wp:extent cx="3743325" cy="4191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3743325" cy="4191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8A750FE" id="Rectangle: Rounded Corners 8" o:spid="_x0000_s1026" style="position:absolute;margin-left:0;margin-top:131.25pt;width:294.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" filled="f" strokecolor="red" strokeweight="1pt">
                <v:stroke joinstyle="miter"/>
              </v:roundrect>
            </w:pict>
          </mc:Fallback>
        </mc:AlternateContent>
      </w:r>
      <w:r>
        <w:rPr>
          <w:noProof/>
        </w:rPr>
        <w:drawing>
          <wp:inline distT="0" distB="0" distL="0" distR="0">
            <wp:extent cx="3742055" cy="3192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2055" cy="3192145"/>
                    </a:xfrm>
                    <a:prstGeom prst="rect">
                      <a:avLst/>
                    </a:prstGeom>
                    <a:noFill/>
                    <a:ln>
                      <a:noFill/>
                    </a:ln>
                  </pic:spPr>
                </pic:pic>
              </a:graphicData>
            </a:graphic>
          </wp:inline>
        </w:drawing>
      </w:r>
    </w:p>
    <w:p w:rsidR="00591BD1" w:rsidRPr="00591BD1" w:rsidRDefault="00591BD1" w:rsidP="00591BD1">
      <w:pPr>
        <w:rPr>
          <w:rFonts w:ascii="Times New Roman" w:hAnsi="Times New Roman" w:cs="Times New Roman"/>
          <w:sz w:val="24"/>
          <w:szCs w:val="24"/>
        </w:rPr>
      </w:pPr>
      <w:r w:rsidRPr="00591BD1">
        <w:rPr>
          <w:rFonts w:ascii="Times New Roman" w:hAnsi="Times New Roman" w:cs="Times New Roman"/>
          <w:sz w:val="24"/>
          <w:szCs w:val="24"/>
        </w:rPr>
        <w:t>Some of the low to medium testing soils with average or better yield expectation could need in the range of 150 lbs. P2O5/ac to meet the crop requirements for the 2-year corn/soybean rotation.  The amount of nitrogen delivered (approximately 30 lb./ac of N) with this application would be accounted for in determining the correct N rate applied for the corn so the N rate would not be over applied.  An exception for the application of agronomically appropriate rates of phosphate to meet the needs of a 2-year corn/soybean rotation should be included in the exceptions under Subpart 2C.</w:t>
      </w:r>
    </w:p>
    <w:p w:rsidR="00591BD1" w:rsidRPr="00591BD1" w:rsidRDefault="00591BD1" w:rsidP="00591BD1">
      <w:pPr>
        <w:rPr>
          <w:rFonts w:ascii="Times New Roman" w:hAnsi="Times New Roman" w:cs="Times New Roman"/>
          <w:sz w:val="24"/>
          <w:szCs w:val="24"/>
        </w:rPr>
      </w:pPr>
      <w:r w:rsidRPr="00591BD1">
        <w:rPr>
          <w:rFonts w:ascii="Times New Roman" w:hAnsi="Times New Roman" w:cs="Times New Roman"/>
          <w:sz w:val="24"/>
          <w:szCs w:val="24"/>
        </w:rPr>
        <w:t xml:space="preserve">Potash is also commonly applied in the same operation with the phosphate application.  If there is no exception made for agronomically appropriate rates of fall applied phosphate for a </w:t>
      </w:r>
      <w:r w:rsidR="006F0451" w:rsidRPr="00591BD1">
        <w:rPr>
          <w:rFonts w:ascii="Times New Roman" w:hAnsi="Times New Roman" w:cs="Times New Roman"/>
          <w:sz w:val="24"/>
          <w:szCs w:val="24"/>
        </w:rPr>
        <w:t>2-year</w:t>
      </w:r>
      <w:r w:rsidRPr="00591BD1">
        <w:rPr>
          <w:rFonts w:ascii="Times New Roman" w:hAnsi="Times New Roman" w:cs="Times New Roman"/>
          <w:sz w:val="24"/>
          <w:szCs w:val="24"/>
        </w:rPr>
        <w:t xml:space="preserve"> corn/soybean rotation then farmers will need to apply and retailers will need to be able to deliver on average an additional 75 lb./ac of P</w:t>
      </w:r>
      <w:r w:rsidRPr="00591BD1">
        <w:rPr>
          <w:rFonts w:ascii="Times New Roman" w:hAnsi="Times New Roman" w:cs="Times New Roman"/>
          <w:sz w:val="24"/>
          <w:szCs w:val="24"/>
          <w:vertAlign w:val="subscript"/>
        </w:rPr>
        <w:t>2</w:t>
      </w:r>
      <w:r w:rsidRPr="00591BD1">
        <w:rPr>
          <w:rFonts w:ascii="Times New Roman" w:hAnsi="Times New Roman" w:cs="Times New Roman"/>
          <w:sz w:val="24"/>
          <w:szCs w:val="24"/>
        </w:rPr>
        <w:t>O</w:t>
      </w:r>
      <w:r w:rsidRPr="00591BD1">
        <w:rPr>
          <w:rFonts w:ascii="Times New Roman" w:hAnsi="Times New Roman" w:cs="Times New Roman"/>
          <w:sz w:val="24"/>
          <w:szCs w:val="24"/>
          <w:vertAlign w:val="subscript"/>
        </w:rPr>
        <w:t>5</w:t>
      </w:r>
      <w:r w:rsidRPr="00591BD1">
        <w:rPr>
          <w:rFonts w:ascii="Times New Roman" w:hAnsi="Times New Roman" w:cs="Times New Roman"/>
          <w:sz w:val="24"/>
          <w:szCs w:val="24"/>
        </w:rPr>
        <w:t xml:space="preserve"> and 75 lb./ac of K</w:t>
      </w:r>
      <w:r w:rsidRPr="00591BD1">
        <w:rPr>
          <w:rFonts w:ascii="Times New Roman" w:hAnsi="Times New Roman" w:cs="Times New Roman"/>
          <w:sz w:val="24"/>
          <w:szCs w:val="24"/>
          <w:vertAlign w:val="subscript"/>
        </w:rPr>
        <w:t>2</w:t>
      </w:r>
      <w:r w:rsidRPr="00591BD1">
        <w:rPr>
          <w:rFonts w:ascii="Times New Roman" w:hAnsi="Times New Roman" w:cs="Times New Roman"/>
          <w:sz w:val="24"/>
          <w:szCs w:val="24"/>
        </w:rPr>
        <w:t>O each spring (based on potash rates between 50 and 150 lb./ac for soybean and corn average needs).</w:t>
      </w:r>
    </w:p>
    <w:p w:rsidR="00591BD1" w:rsidRPr="00591BD1" w:rsidRDefault="00591BD1" w:rsidP="00591BD1">
      <w:pPr>
        <w:rPr>
          <w:rFonts w:ascii="Times New Roman" w:hAnsi="Times New Roman" w:cs="Times New Roman"/>
          <w:sz w:val="24"/>
          <w:szCs w:val="24"/>
        </w:rPr>
      </w:pPr>
      <w:r w:rsidRPr="00591BD1">
        <w:rPr>
          <w:rFonts w:ascii="Times New Roman" w:hAnsi="Times New Roman" w:cs="Times New Roman"/>
          <w:sz w:val="24"/>
          <w:szCs w:val="24"/>
        </w:rPr>
        <w:t>The ability of farmers and retailers to deliver and apply the additional volume of phosphate and potash fertilizer product to be applied in the spring could be further constrained by the switch of nitrogen application from fall to spring and the change from fall anhydrous ammonia to spring urea or UAN with its lower N analysis resulting in higher volumes to meet the same N requirement.</w:t>
      </w:r>
    </w:p>
    <w:p w:rsidR="006D0E9A" w:rsidRPr="006D0E9A" w:rsidRDefault="006D0E9A" w:rsidP="006D0E9A">
      <w:pPr>
        <w:rPr>
          <w:rFonts w:ascii="Times New Roman" w:hAnsi="Times New Roman" w:cs="Times New Roman"/>
          <w:sz w:val="24"/>
          <w:szCs w:val="24"/>
        </w:rPr>
      </w:pPr>
      <w:r w:rsidRPr="006D0E9A">
        <w:rPr>
          <w:rFonts w:ascii="Times New Roman" w:hAnsi="Times New Roman" w:cs="Times New Roman"/>
          <w:b/>
          <w:sz w:val="24"/>
          <w:szCs w:val="24"/>
        </w:rPr>
        <w:t>Subpart 6</w:t>
      </w:r>
      <w:r w:rsidRPr="006D0E9A">
        <w:rPr>
          <w:rFonts w:ascii="Times New Roman" w:hAnsi="Times New Roman" w:cs="Times New Roman"/>
          <w:sz w:val="24"/>
          <w:szCs w:val="24"/>
        </w:rPr>
        <w:t xml:space="preserve"> – Fall Application uses the term “inorganic nitrogen fertilizer”.   Nitrogen fertilizer is defined in subpart 13.  Would the addition of the word inorganic in subpart 6 mean that the rule would allow for the addition of manipulated organic fertilizer after Aug. 31</w:t>
      </w:r>
      <w:r w:rsidRPr="006D0E9A">
        <w:rPr>
          <w:rFonts w:ascii="Times New Roman" w:hAnsi="Times New Roman" w:cs="Times New Roman"/>
          <w:sz w:val="24"/>
          <w:szCs w:val="24"/>
          <w:vertAlign w:val="superscript"/>
        </w:rPr>
        <w:t>st</w:t>
      </w:r>
      <w:r w:rsidRPr="006D0E9A">
        <w:rPr>
          <w:rFonts w:ascii="Times New Roman" w:hAnsi="Times New Roman" w:cs="Times New Roman"/>
          <w:sz w:val="24"/>
          <w:szCs w:val="24"/>
        </w:rPr>
        <w:t>?  All Nitrogen fertilizers should be treated in the same way, regardless of whether the N source is organic or inorganic, since all nitrogen sources are potential nitrate sources.  The term “inorganic” should be removed from the definition in Subpart 6.</w:t>
      </w:r>
    </w:p>
    <w:p w:rsidR="00591BD1" w:rsidRPr="00591BD1" w:rsidRDefault="00591BD1" w:rsidP="005E7000">
      <w:pPr>
        <w:spacing w:after="0"/>
        <w:rPr>
          <w:rFonts w:ascii="Times New Roman" w:hAnsi="Times New Roman" w:cs="Times New Roman"/>
          <w:sz w:val="24"/>
          <w:szCs w:val="24"/>
        </w:rPr>
      </w:pPr>
    </w:p>
    <w:p w:rsidR="008E6E78" w:rsidRPr="00591BD1" w:rsidRDefault="008E6E78" w:rsidP="005E7000">
      <w:pPr>
        <w:spacing w:after="0"/>
        <w:rPr>
          <w:rFonts w:ascii="Times New Roman" w:hAnsi="Times New Roman" w:cs="Times New Roman"/>
          <w:sz w:val="24"/>
          <w:szCs w:val="24"/>
        </w:rPr>
      </w:pPr>
    </w:p>
    <w:p w:rsidR="008E6E78" w:rsidRPr="008E6E78" w:rsidRDefault="008E6E78" w:rsidP="008E6E78">
      <w:pPr>
        <w:rPr>
          <w:rFonts w:ascii="Times New Roman" w:hAnsi="Times New Roman" w:cs="Times New Roman"/>
          <w:sz w:val="24"/>
          <w:szCs w:val="24"/>
        </w:rPr>
      </w:pPr>
      <w:r w:rsidRPr="008E6E78">
        <w:rPr>
          <w:rFonts w:ascii="Times New Roman" w:hAnsi="Times New Roman" w:cs="Times New Roman"/>
          <w:sz w:val="24"/>
          <w:szCs w:val="24"/>
        </w:rPr>
        <w:t xml:space="preserve">The MDA has a role in setting appropriate expectations with the public about the time frames around expected water quality improvements.  Lag times for water quality changes mean that nitrate well monitoring results are not necessarily indicative of the management practice changes that have occurred over the last 5-10 years.  The emphasis on well water monitoring for changes in nitrate levels in a </w:t>
      </w:r>
      <w:r w:rsidR="006F0451" w:rsidRPr="008E6E78">
        <w:rPr>
          <w:rFonts w:ascii="Times New Roman" w:hAnsi="Times New Roman" w:cs="Times New Roman"/>
          <w:sz w:val="24"/>
          <w:szCs w:val="24"/>
        </w:rPr>
        <w:t>3-year</w:t>
      </w:r>
      <w:r w:rsidRPr="008E6E78">
        <w:rPr>
          <w:rFonts w:ascii="Times New Roman" w:hAnsi="Times New Roman" w:cs="Times New Roman"/>
          <w:sz w:val="24"/>
          <w:szCs w:val="24"/>
        </w:rPr>
        <w:t xml:space="preserve"> </w:t>
      </w:r>
      <w:r w:rsidR="006F0451" w:rsidRPr="008E6E78">
        <w:rPr>
          <w:rFonts w:ascii="Times New Roman" w:hAnsi="Times New Roman" w:cs="Times New Roman"/>
          <w:sz w:val="24"/>
          <w:szCs w:val="24"/>
        </w:rPr>
        <w:t>time</w:t>
      </w:r>
      <w:r w:rsidRPr="008E6E78">
        <w:rPr>
          <w:rFonts w:ascii="Times New Roman" w:hAnsi="Times New Roman" w:cs="Times New Roman"/>
          <w:sz w:val="24"/>
          <w:szCs w:val="24"/>
        </w:rPr>
        <w:t xml:space="preserve"> is sending a message to the public that the department expects to see changes to water nitrate levels in a short time period.  This creates potential for unmet public expectations and rising concerns leading to more restrictive regulations on fertilizer use that may or may not reduce nitrate levels in the </w:t>
      </w:r>
      <w:r w:rsidR="006F0451" w:rsidRPr="008E6E78">
        <w:rPr>
          <w:rFonts w:ascii="Times New Roman" w:hAnsi="Times New Roman" w:cs="Times New Roman"/>
          <w:sz w:val="24"/>
          <w:szCs w:val="24"/>
        </w:rPr>
        <w:t>3-year</w:t>
      </w:r>
      <w:r w:rsidRPr="008E6E78">
        <w:rPr>
          <w:rFonts w:ascii="Times New Roman" w:hAnsi="Times New Roman" w:cs="Times New Roman"/>
          <w:sz w:val="24"/>
          <w:szCs w:val="24"/>
        </w:rPr>
        <w:t xml:space="preserve"> period.  The education component under the water resource requirements must also include public education on the timeframes for expected changes in water quality and other factors that affect nitrate levels in monitored wells.  The proposed rule should include a requirement to fund education efforts for all stakeholders.</w:t>
      </w:r>
    </w:p>
    <w:bookmarkEnd w:id="0"/>
    <w:p w:rsidR="00412F76" w:rsidRDefault="001F4AFB" w:rsidP="005E7000">
      <w:pPr>
        <w:spacing w:after="0"/>
        <w:rPr>
          <w:rFonts w:ascii="Times New Roman" w:hAnsi="Times New Roman" w:cs="Times New Roman"/>
          <w:sz w:val="24"/>
          <w:szCs w:val="24"/>
        </w:rPr>
      </w:pPr>
      <w:r>
        <w:rPr>
          <w:rFonts w:ascii="Times New Roman" w:hAnsi="Times New Roman" w:cs="Times New Roman"/>
          <w:sz w:val="24"/>
          <w:szCs w:val="24"/>
        </w:rPr>
        <w:t xml:space="preserve">We are </w:t>
      </w:r>
      <w:r w:rsidR="00D323A5">
        <w:rPr>
          <w:rFonts w:ascii="Times New Roman" w:hAnsi="Times New Roman" w:cs="Times New Roman"/>
          <w:sz w:val="24"/>
          <w:szCs w:val="24"/>
        </w:rPr>
        <w:t>concern</w:t>
      </w:r>
      <w:r>
        <w:rPr>
          <w:rFonts w:ascii="Times New Roman" w:hAnsi="Times New Roman" w:cs="Times New Roman"/>
          <w:sz w:val="24"/>
          <w:szCs w:val="24"/>
        </w:rPr>
        <w:t>ed</w:t>
      </w:r>
      <w:r w:rsidR="00D323A5">
        <w:rPr>
          <w:rFonts w:ascii="Times New Roman" w:hAnsi="Times New Roman" w:cs="Times New Roman"/>
          <w:sz w:val="24"/>
          <w:szCs w:val="24"/>
        </w:rPr>
        <w:t xml:space="preserve"> about </w:t>
      </w:r>
      <w:r w:rsidR="00DE7668" w:rsidRPr="00565178">
        <w:rPr>
          <w:rFonts w:ascii="Times New Roman" w:hAnsi="Times New Roman" w:cs="Times New Roman"/>
          <w:sz w:val="24"/>
          <w:szCs w:val="24"/>
        </w:rPr>
        <w:t>the complexity of evaluating nitroge</w:t>
      </w:r>
      <w:r w:rsidR="00E47B17" w:rsidRPr="00565178">
        <w:rPr>
          <w:rFonts w:ascii="Times New Roman" w:hAnsi="Times New Roman" w:cs="Times New Roman"/>
          <w:sz w:val="24"/>
          <w:szCs w:val="24"/>
        </w:rPr>
        <w:t xml:space="preserve">n management practices. While </w:t>
      </w:r>
      <w:r w:rsidR="00D323A5">
        <w:rPr>
          <w:rFonts w:ascii="Times New Roman" w:hAnsi="Times New Roman" w:cs="Times New Roman"/>
          <w:sz w:val="24"/>
          <w:szCs w:val="24"/>
        </w:rPr>
        <w:t xml:space="preserve">we support </w:t>
      </w:r>
      <w:r w:rsidR="00DE7668" w:rsidRPr="00565178">
        <w:rPr>
          <w:rFonts w:ascii="Times New Roman" w:hAnsi="Times New Roman" w:cs="Times New Roman"/>
          <w:sz w:val="24"/>
          <w:szCs w:val="24"/>
        </w:rPr>
        <w:t xml:space="preserve">the commissioner’s intent </w:t>
      </w:r>
      <w:r w:rsidR="002B6DFE" w:rsidRPr="00565178">
        <w:rPr>
          <w:rFonts w:ascii="Times New Roman" w:hAnsi="Times New Roman" w:cs="Times New Roman"/>
          <w:sz w:val="24"/>
          <w:szCs w:val="24"/>
        </w:rPr>
        <w:t>to ensure that</w:t>
      </w:r>
      <w:r w:rsidR="00DE7668" w:rsidRPr="00565178">
        <w:rPr>
          <w:rFonts w:ascii="Times New Roman" w:hAnsi="Times New Roman" w:cs="Times New Roman"/>
          <w:sz w:val="24"/>
          <w:szCs w:val="24"/>
        </w:rPr>
        <w:t xml:space="preserve"> farmers are using nitrogen as efficiently as possible, factors such as weather</w:t>
      </w:r>
      <w:r w:rsidR="002B6DFE" w:rsidRPr="00565178">
        <w:rPr>
          <w:rFonts w:ascii="Times New Roman" w:hAnsi="Times New Roman" w:cs="Times New Roman"/>
          <w:sz w:val="24"/>
          <w:szCs w:val="24"/>
        </w:rPr>
        <w:t xml:space="preserve"> greatly influence crop gr</w:t>
      </w:r>
      <w:r>
        <w:rPr>
          <w:rFonts w:ascii="Times New Roman" w:hAnsi="Times New Roman" w:cs="Times New Roman"/>
          <w:sz w:val="24"/>
          <w:szCs w:val="24"/>
        </w:rPr>
        <w:t xml:space="preserve">owth and nitrogen uptake. We are </w:t>
      </w:r>
      <w:r w:rsidR="002B6DFE" w:rsidRPr="00565178">
        <w:rPr>
          <w:rFonts w:ascii="Times New Roman" w:hAnsi="Times New Roman" w:cs="Times New Roman"/>
          <w:sz w:val="24"/>
          <w:szCs w:val="24"/>
        </w:rPr>
        <w:t xml:space="preserve">concerned that the general recommendations currently found in University of Minnesota’s BMPs are not well understood and there is a </w:t>
      </w:r>
      <w:r w:rsidR="00E47B17" w:rsidRPr="00565178">
        <w:rPr>
          <w:rFonts w:ascii="Times New Roman" w:hAnsi="Times New Roman" w:cs="Times New Roman"/>
          <w:sz w:val="24"/>
          <w:szCs w:val="24"/>
        </w:rPr>
        <w:t>fear</w:t>
      </w:r>
      <w:r w:rsidR="002B6DFE" w:rsidRPr="00565178">
        <w:rPr>
          <w:rFonts w:ascii="Times New Roman" w:hAnsi="Times New Roman" w:cs="Times New Roman"/>
          <w:sz w:val="24"/>
          <w:szCs w:val="24"/>
        </w:rPr>
        <w:t xml:space="preserve"> that the MDA may set unreasonable nitrogen rate limits through this regulation.</w:t>
      </w:r>
      <w:r w:rsidR="00D323A5">
        <w:rPr>
          <w:rFonts w:ascii="Times New Roman" w:hAnsi="Times New Roman" w:cs="Times New Roman"/>
          <w:sz w:val="24"/>
          <w:szCs w:val="24"/>
        </w:rPr>
        <w:t xml:space="preserve"> An important factor in allowing the precision agriculture </w:t>
      </w:r>
      <w:r w:rsidR="000F233A">
        <w:rPr>
          <w:rFonts w:ascii="Times New Roman" w:hAnsi="Times New Roman" w:cs="Times New Roman"/>
          <w:sz w:val="24"/>
          <w:szCs w:val="24"/>
        </w:rPr>
        <w:t xml:space="preserve">to determine fertilizer application practices and rates is the acknowledgement of “on-farm trials” according to appendix 6 </w:t>
      </w:r>
      <w:r>
        <w:rPr>
          <w:rFonts w:ascii="Times New Roman" w:hAnsi="Times New Roman" w:cs="Times New Roman"/>
          <w:sz w:val="24"/>
          <w:szCs w:val="24"/>
        </w:rPr>
        <w:t>which are included in as</w:t>
      </w:r>
      <w:r w:rsidR="004B44F5">
        <w:rPr>
          <w:rFonts w:ascii="Times New Roman" w:hAnsi="Times New Roman" w:cs="Times New Roman"/>
          <w:sz w:val="24"/>
          <w:szCs w:val="24"/>
        </w:rPr>
        <w:t xml:space="preserve"> necessary </w:t>
      </w:r>
      <w:r>
        <w:rPr>
          <w:rFonts w:ascii="Times New Roman" w:hAnsi="Times New Roman" w:cs="Times New Roman"/>
          <w:sz w:val="24"/>
          <w:szCs w:val="24"/>
        </w:rPr>
        <w:t xml:space="preserve">method of truth testing the </w:t>
      </w:r>
      <w:r w:rsidR="000F233A">
        <w:rPr>
          <w:rFonts w:ascii="Times New Roman" w:hAnsi="Times New Roman" w:cs="Times New Roman"/>
          <w:sz w:val="24"/>
          <w:szCs w:val="24"/>
        </w:rPr>
        <w:t xml:space="preserve">University of Minnesota BMPs standards. </w:t>
      </w:r>
      <w:r w:rsidR="002B6DFE" w:rsidRPr="00565178">
        <w:rPr>
          <w:rFonts w:ascii="Times New Roman" w:hAnsi="Times New Roman" w:cs="Times New Roman"/>
          <w:sz w:val="24"/>
          <w:szCs w:val="24"/>
        </w:rPr>
        <w:t xml:space="preserve">This issue is compounded by the fact that the MDA has taken on a larger role in nutrient management education by choosing to add nutrient management staff within its own ranks. </w:t>
      </w:r>
      <w:r w:rsidR="00412F76">
        <w:rPr>
          <w:rFonts w:ascii="Times New Roman" w:hAnsi="Times New Roman" w:cs="Times New Roman"/>
          <w:sz w:val="24"/>
          <w:szCs w:val="24"/>
        </w:rPr>
        <w:t>MDA staff must be able to work with precision ag programs to be able to manage the University BMP recommendations within the frame work of “on-farm trials”.</w:t>
      </w:r>
    </w:p>
    <w:p w:rsidR="00412F76" w:rsidRDefault="00412F76" w:rsidP="005E7000">
      <w:pPr>
        <w:spacing w:after="0"/>
        <w:rPr>
          <w:rFonts w:ascii="Times New Roman" w:hAnsi="Times New Roman" w:cs="Times New Roman"/>
          <w:sz w:val="24"/>
          <w:szCs w:val="24"/>
        </w:rPr>
      </w:pPr>
    </w:p>
    <w:p w:rsidR="001A323D" w:rsidRPr="00565178" w:rsidRDefault="00EC6971" w:rsidP="005E7000">
      <w:pPr>
        <w:spacing w:after="0"/>
        <w:rPr>
          <w:rFonts w:ascii="Times New Roman" w:hAnsi="Times New Roman" w:cs="Times New Roman"/>
          <w:sz w:val="24"/>
          <w:szCs w:val="24"/>
        </w:rPr>
      </w:pPr>
      <w:r w:rsidRPr="00565178">
        <w:rPr>
          <w:rFonts w:ascii="Times New Roman" w:hAnsi="Times New Roman" w:cs="Times New Roman"/>
          <w:sz w:val="24"/>
          <w:szCs w:val="24"/>
        </w:rPr>
        <w:t xml:space="preserve">As it takes on a larger role in regulation, the MDA should </w:t>
      </w:r>
      <w:r w:rsidR="002B6DFE" w:rsidRPr="00565178">
        <w:rPr>
          <w:rFonts w:ascii="Times New Roman" w:hAnsi="Times New Roman" w:cs="Times New Roman"/>
          <w:sz w:val="24"/>
          <w:szCs w:val="24"/>
        </w:rPr>
        <w:t>provide additional funding to the University of Minnesota and Extension</w:t>
      </w:r>
      <w:r w:rsidRPr="00565178">
        <w:rPr>
          <w:rFonts w:ascii="Times New Roman" w:hAnsi="Times New Roman" w:cs="Times New Roman"/>
          <w:sz w:val="24"/>
          <w:szCs w:val="24"/>
        </w:rPr>
        <w:t xml:space="preserve"> and agricultural organizations</w:t>
      </w:r>
      <w:r w:rsidR="002B6DFE" w:rsidRPr="00565178">
        <w:rPr>
          <w:rFonts w:ascii="Times New Roman" w:hAnsi="Times New Roman" w:cs="Times New Roman"/>
          <w:sz w:val="24"/>
          <w:szCs w:val="24"/>
        </w:rPr>
        <w:t xml:space="preserve"> for the purposes of BMP research and education</w:t>
      </w:r>
      <w:r w:rsidRPr="00565178">
        <w:rPr>
          <w:rFonts w:ascii="Times New Roman" w:hAnsi="Times New Roman" w:cs="Times New Roman"/>
          <w:sz w:val="24"/>
          <w:szCs w:val="24"/>
        </w:rPr>
        <w:t xml:space="preserve">. Direct MDA activities should be confined to the regulatory functions </w:t>
      </w:r>
      <w:r w:rsidR="00E47B17" w:rsidRPr="00565178">
        <w:rPr>
          <w:rFonts w:ascii="Times New Roman" w:hAnsi="Times New Roman" w:cs="Times New Roman"/>
          <w:sz w:val="24"/>
          <w:szCs w:val="24"/>
        </w:rPr>
        <w:t>being created</w:t>
      </w:r>
      <w:r w:rsidRPr="00565178">
        <w:rPr>
          <w:rFonts w:ascii="Times New Roman" w:hAnsi="Times New Roman" w:cs="Times New Roman"/>
          <w:sz w:val="24"/>
          <w:szCs w:val="24"/>
        </w:rPr>
        <w:t>, specifically water monitoring and BMP adoption as</w:t>
      </w:r>
      <w:r w:rsidR="009C09B4" w:rsidRPr="00565178">
        <w:rPr>
          <w:rFonts w:ascii="Times New Roman" w:hAnsi="Times New Roman" w:cs="Times New Roman"/>
          <w:sz w:val="24"/>
          <w:szCs w:val="24"/>
        </w:rPr>
        <w:t>sessment</w:t>
      </w:r>
      <w:r w:rsidRPr="00565178">
        <w:rPr>
          <w:rFonts w:ascii="Times New Roman" w:hAnsi="Times New Roman" w:cs="Times New Roman"/>
          <w:sz w:val="24"/>
          <w:szCs w:val="24"/>
        </w:rPr>
        <w:t xml:space="preserve">. </w:t>
      </w:r>
    </w:p>
    <w:p w:rsidR="00E47B17" w:rsidRPr="00565178" w:rsidRDefault="00E47B17" w:rsidP="005E7000">
      <w:pPr>
        <w:spacing w:after="0"/>
        <w:rPr>
          <w:rFonts w:ascii="Times New Roman" w:hAnsi="Times New Roman" w:cs="Times New Roman"/>
          <w:sz w:val="24"/>
          <w:szCs w:val="24"/>
        </w:rPr>
      </w:pPr>
    </w:p>
    <w:p w:rsidR="00E47B17" w:rsidRPr="00565178" w:rsidRDefault="00E47B17" w:rsidP="005E7000">
      <w:pPr>
        <w:spacing w:after="0"/>
        <w:rPr>
          <w:rFonts w:ascii="Times New Roman" w:hAnsi="Times New Roman" w:cs="Times New Roman"/>
          <w:sz w:val="24"/>
          <w:szCs w:val="24"/>
        </w:rPr>
      </w:pPr>
    </w:p>
    <w:p w:rsidR="009D492D" w:rsidRPr="00565178" w:rsidRDefault="009D492D" w:rsidP="005E7000">
      <w:pPr>
        <w:spacing w:after="0"/>
        <w:rPr>
          <w:rFonts w:ascii="Times New Roman" w:hAnsi="Times New Roman" w:cs="Times New Roman"/>
          <w:sz w:val="24"/>
          <w:szCs w:val="24"/>
        </w:rPr>
      </w:pPr>
      <w:r w:rsidRPr="00565178">
        <w:rPr>
          <w:rFonts w:ascii="Times New Roman" w:hAnsi="Times New Roman" w:cs="Times New Roman"/>
          <w:sz w:val="24"/>
          <w:szCs w:val="24"/>
        </w:rPr>
        <w:t>If you have any questions or would like to discuss these c</w:t>
      </w:r>
      <w:r w:rsidR="00412F76">
        <w:rPr>
          <w:rFonts w:ascii="Times New Roman" w:hAnsi="Times New Roman" w:cs="Times New Roman"/>
          <w:sz w:val="24"/>
          <w:szCs w:val="24"/>
        </w:rPr>
        <w:t>omments, feel free to contact me</w:t>
      </w:r>
      <w:r w:rsidRPr="00565178">
        <w:rPr>
          <w:rFonts w:ascii="Times New Roman" w:hAnsi="Times New Roman" w:cs="Times New Roman"/>
          <w:sz w:val="24"/>
          <w:szCs w:val="24"/>
        </w:rPr>
        <w:t xml:space="preserve">. </w:t>
      </w:r>
    </w:p>
    <w:p w:rsidR="009D492D" w:rsidRPr="00565178" w:rsidRDefault="009D492D" w:rsidP="005E7000">
      <w:pPr>
        <w:spacing w:after="0"/>
        <w:rPr>
          <w:rFonts w:ascii="Times New Roman" w:hAnsi="Times New Roman" w:cs="Times New Roman"/>
          <w:sz w:val="24"/>
          <w:szCs w:val="24"/>
        </w:rPr>
      </w:pPr>
    </w:p>
    <w:p w:rsidR="00412F76" w:rsidRDefault="00412F76" w:rsidP="00412F76">
      <w:pPr>
        <w:rPr>
          <w:rFonts w:ascii="Blackadder ITC" w:eastAsia="Calibri" w:hAnsi="Blackadder ITC" w:cs="Times New Roman"/>
          <w:b/>
          <w:noProof/>
          <w:color w:val="1F497D"/>
          <w:sz w:val="32"/>
          <w:szCs w:val="32"/>
        </w:rPr>
      </w:pPr>
      <w:bookmarkStart w:id="3" w:name="_MailAutoSig"/>
      <w:r>
        <w:rPr>
          <w:rFonts w:ascii="Blackadder ITC" w:eastAsia="Calibri" w:hAnsi="Blackadder ITC" w:cs="Times New Roman"/>
          <w:b/>
          <w:noProof/>
          <w:color w:val="1F497D"/>
          <w:sz w:val="32"/>
          <w:szCs w:val="32"/>
        </w:rPr>
        <w:t>Bill Bond</w:t>
      </w:r>
    </w:p>
    <w:p w:rsidR="00412F76" w:rsidRDefault="00412F76" w:rsidP="00412F76">
      <w:pPr>
        <w:spacing w:line="240" w:lineRule="auto"/>
        <w:rPr>
          <w:rFonts w:ascii="Times New Roman" w:eastAsia="Calibri" w:hAnsi="Times New Roman" w:cs="Times New Roman"/>
          <w:noProof/>
          <w:color w:val="1F497D"/>
          <w:sz w:val="24"/>
          <w:szCs w:val="24"/>
        </w:rPr>
      </w:pPr>
      <w:r>
        <w:rPr>
          <w:rFonts w:ascii="Times New Roman" w:eastAsia="Calibri" w:hAnsi="Times New Roman" w:cs="Times New Roman"/>
          <w:noProof/>
          <w:color w:val="1F497D"/>
          <w:sz w:val="24"/>
          <w:szCs w:val="24"/>
        </w:rPr>
        <w:t>Bill Bond, Executive Director</w:t>
      </w:r>
    </w:p>
    <w:p w:rsidR="00412F76" w:rsidRDefault="00412F76" w:rsidP="00412F76">
      <w:pPr>
        <w:spacing w:line="240" w:lineRule="auto"/>
        <w:rPr>
          <w:rFonts w:ascii="Times New Roman" w:eastAsia="Calibri" w:hAnsi="Times New Roman" w:cs="Times New Roman"/>
          <w:noProof/>
          <w:color w:val="1F497D"/>
          <w:sz w:val="24"/>
          <w:szCs w:val="24"/>
        </w:rPr>
      </w:pPr>
      <w:r>
        <w:rPr>
          <w:rFonts w:ascii="Times New Roman" w:eastAsia="Calibri" w:hAnsi="Times New Roman" w:cs="Times New Roman"/>
          <w:noProof/>
          <w:color w:val="1F497D"/>
          <w:sz w:val="24"/>
          <w:szCs w:val="24"/>
        </w:rPr>
        <w:t>Minnesota Crop Production Retailers</w:t>
      </w:r>
    </w:p>
    <w:p w:rsidR="00412F76" w:rsidRDefault="00412F76" w:rsidP="00412F76">
      <w:pPr>
        <w:spacing w:line="240" w:lineRule="auto"/>
        <w:rPr>
          <w:rFonts w:ascii="Times New Roman" w:eastAsia="Calibri" w:hAnsi="Times New Roman" w:cs="Times New Roman"/>
          <w:noProof/>
          <w:color w:val="1F497D"/>
          <w:sz w:val="24"/>
          <w:szCs w:val="24"/>
        </w:rPr>
      </w:pPr>
      <w:r>
        <w:rPr>
          <w:rFonts w:ascii="Times New Roman" w:eastAsia="Calibri" w:hAnsi="Times New Roman" w:cs="Times New Roman"/>
          <w:noProof/>
          <w:color w:val="1F497D"/>
          <w:sz w:val="24"/>
          <w:szCs w:val="24"/>
        </w:rPr>
        <w:t>15490 101Ave N, Suite 100, Maple Grove, MN 55369</w:t>
      </w:r>
    </w:p>
    <w:p w:rsidR="009D492D" w:rsidRPr="00565178" w:rsidRDefault="00412F76" w:rsidP="00D504E1">
      <w:pPr>
        <w:spacing w:line="240" w:lineRule="auto"/>
        <w:rPr>
          <w:rFonts w:ascii="Times New Roman" w:hAnsi="Times New Roman" w:cs="Times New Roman"/>
          <w:sz w:val="24"/>
          <w:szCs w:val="24"/>
        </w:rPr>
      </w:pPr>
      <w:r>
        <w:rPr>
          <w:rFonts w:ascii="Times New Roman" w:eastAsia="Calibri" w:hAnsi="Times New Roman" w:cs="Times New Roman"/>
          <w:noProof/>
          <w:color w:val="1F497D"/>
          <w:sz w:val="24"/>
          <w:szCs w:val="24"/>
        </w:rPr>
        <w:t xml:space="preserve">Off. Direct Ph. 763-235-6472, </w:t>
      </w:r>
      <w:hyperlink r:id="rId7" w:history="1">
        <w:r>
          <w:rPr>
            <w:rStyle w:val="Hyperlink"/>
            <w:rFonts w:ascii="Times New Roman" w:eastAsia="Calibri" w:hAnsi="Times New Roman" w:cs="Times New Roman"/>
            <w:noProof/>
            <w:color w:val="0563C1"/>
            <w:sz w:val="24"/>
            <w:szCs w:val="24"/>
          </w:rPr>
          <w:t>www.mcpr-cca.org</w:t>
        </w:r>
      </w:hyperlink>
      <w:r>
        <w:t xml:space="preserve">, </w:t>
      </w:r>
      <w:hyperlink r:id="rId8" w:history="1">
        <w:r>
          <w:rPr>
            <w:rStyle w:val="Hyperlink"/>
            <w:rFonts w:ascii="Times New Roman" w:eastAsia="Calibri" w:hAnsi="Times New Roman" w:cs="Times New Roman"/>
            <w:noProof/>
            <w:color w:val="0563C1"/>
            <w:sz w:val="24"/>
            <w:szCs w:val="24"/>
          </w:rPr>
          <w:t>bill@mcpr-cca.org</w:t>
        </w:r>
      </w:hyperlink>
      <w:r>
        <w:rPr>
          <w:rFonts w:ascii="Times New Roman" w:eastAsia="Calibri" w:hAnsi="Times New Roman" w:cs="Times New Roman"/>
          <w:noProof/>
          <w:color w:val="1F497D"/>
          <w:sz w:val="24"/>
          <w:szCs w:val="24"/>
        </w:rPr>
        <w:t xml:space="preserve"> </w:t>
      </w:r>
      <w:bookmarkEnd w:id="3"/>
    </w:p>
    <w:sectPr w:rsidR="009D492D" w:rsidRPr="00565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5CD6"/>
    <w:multiLevelType w:val="hybridMultilevel"/>
    <w:tmpl w:val="6D34E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10B8A"/>
    <w:multiLevelType w:val="hybridMultilevel"/>
    <w:tmpl w:val="E4762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9205A"/>
    <w:multiLevelType w:val="hybridMultilevel"/>
    <w:tmpl w:val="44001124"/>
    <w:lvl w:ilvl="0" w:tplc="04090011">
      <w:start w:val="1"/>
      <w:numFmt w:val="decimal"/>
      <w:lvlText w:val="%1)"/>
      <w:lvlJc w:val="left"/>
      <w:pPr>
        <w:ind w:left="720" w:hanging="360"/>
      </w:pPr>
    </w:lvl>
    <w:lvl w:ilvl="1" w:tplc="FA54298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41F23"/>
    <w:multiLevelType w:val="hybridMultilevel"/>
    <w:tmpl w:val="98A8F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32387"/>
    <w:multiLevelType w:val="hybridMultilevel"/>
    <w:tmpl w:val="35BAA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E4384"/>
    <w:multiLevelType w:val="hybridMultilevel"/>
    <w:tmpl w:val="D214EA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131D2"/>
    <w:multiLevelType w:val="hybridMultilevel"/>
    <w:tmpl w:val="08D8B1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A362C"/>
    <w:multiLevelType w:val="hybridMultilevel"/>
    <w:tmpl w:val="C7545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5E"/>
    <w:rsid w:val="00062206"/>
    <w:rsid w:val="0007454A"/>
    <w:rsid w:val="000F233A"/>
    <w:rsid w:val="001425DC"/>
    <w:rsid w:val="00151C7E"/>
    <w:rsid w:val="0017360E"/>
    <w:rsid w:val="00191EC1"/>
    <w:rsid w:val="001A323D"/>
    <w:rsid w:val="001A4DC5"/>
    <w:rsid w:val="001C421B"/>
    <w:rsid w:val="001C697B"/>
    <w:rsid w:val="001F4AFB"/>
    <w:rsid w:val="001F7A80"/>
    <w:rsid w:val="00246CB4"/>
    <w:rsid w:val="002A67D6"/>
    <w:rsid w:val="002B6DFE"/>
    <w:rsid w:val="002C266A"/>
    <w:rsid w:val="00347404"/>
    <w:rsid w:val="00360C13"/>
    <w:rsid w:val="003B476C"/>
    <w:rsid w:val="003B673F"/>
    <w:rsid w:val="003F0226"/>
    <w:rsid w:val="003F1AA8"/>
    <w:rsid w:val="00402868"/>
    <w:rsid w:val="00412F76"/>
    <w:rsid w:val="004159A8"/>
    <w:rsid w:val="004B44F5"/>
    <w:rsid w:val="004C6276"/>
    <w:rsid w:val="00504CE0"/>
    <w:rsid w:val="0051480A"/>
    <w:rsid w:val="00536987"/>
    <w:rsid w:val="005403A0"/>
    <w:rsid w:val="00542071"/>
    <w:rsid w:val="00546486"/>
    <w:rsid w:val="00565178"/>
    <w:rsid w:val="00591BD1"/>
    <w:rsid w:val="005B2C3E"/>
    <w:rsid w:val="005E0C59"/>
    <w:rsid w:val="005E7000"/>
    <w:rsid w:val="005F4608"/>
    <w:rsid w:val="00605831"/>
    <w:rsid w:val="006119BC"/>
    <w:rsid w:val="00640F05"/>
    <w:rsid w:val="0064738E"/>
    <w:rsid w:val="0068205F"/>
    <w:rsid w:val="00685BB9"/>
    <w:rsid w:val="006A3D44"/>
    <w:rsid w:val="006D0E9A"/>
    <w:rsid w:val="006D63DC"/>
    <w:rsid w:val="006E5CBF"/>
    <w:rsid w:val="006F0451"/>
    <w:rsid w:val="006F5EB3"/>
    <w:rsid w:val="007759B3"/>
    <w:rsid w:val="00793664"/>
    <w:rsid w:val="008B449B"/>
    <w:rsid w:val="008E6E78"/>
    <w:rsid w:val="009972DF"/>
    <w:rsid w:val="009A0AAE"/>
    <w:rsid w:val="009A31E4"/>
    <w:rsid w:val="009C09B4"/>
    <w:rsid w:val="009D1E60"/>
    <w:rsid w:val="009D492D"/>
    <w:rsid w:val="00A8282E"/>
    <w:rsid w:val="00AA1977"/>
    <w:rsid w:val="00AC1BB4"/>
    <w:rsid w:val="00AC69E0"/>
    <w:rsid w:val="00AD494E"/>
    <w:rsid w:val="00B36377"/>
    <w:rsid w:val="00B82DE8"/>
    <w:rsid w:val="00C04D54"/>
    <w:rsid w:val="00C240C9"/>
    <w:rsid w:val="00C8190A"/>
    <w:rsid w:val="00C82779"/>
    <w:rsid w:val="00CA5B11"/>
    <w:rsid w:val="00CC2DDC"/>
    <w:rsid w:val="00CE164C"/>
    <w:rsid w:val="00D323A5"/>
    <w:rsid w:val="00D337ED"/>
    <w:rsid w:val="00D504E1"/>
    <w:rsid w:val="00D572CD"/>
    <w:rsid w:val="00DA0859"/>
    <w:rsid w:val="00DA7BCE"/>
    <w:rsid w:val="00DB3939"/>
    <w:rsid w:val="00DE7668"/>
    <w:rsid w:val="00DF35C2"/>
    <w:rsid w:val="00E22A51"/>
    <w:rsid w:val="00E402F2"/>
    <w:rsid w:val="00E41C24"/>
    <w:rsid w:val="00E47B17"/>
    <w:rsid w:val="00EC510D"/>
    <w:rsid w:val="00EC6971"/>
    <w:rsid w:val="00EC7969"/>
    <w:rsid w:val="00F1145E"/>
    <w:rsid w:val="00F66B2E"/>
    <w:rsid w:val="00F75BCF"/>
    <w:rsid w:val="00F9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B1F59-3FA3-4529-BF32-40E176D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B2E"/>
    <w:pPr>
      <w:ind w:left="720"/>
      <w:contextualSpacing/>
    </w:pPr>
  </w:style>
  <w:style w:type="character" w:styleId="Strong">
    <w:name w:val="Strong"/>
    <w:basedOn w:val="DefaultParagraphFont"/>
    <w:uiPriority w:val="22"/>
    <w:qFormat/>
    <w:rsid w:val="00DA7BCE"/>
    <w:rPr>
      <w:b/>
      <w:bCs/>
    </w:rPr>
  </w:style>
  <w:style w:type="character" w:styleId="Hyperlink">
    <w:name w:val="Hyperlink"/>
    <w:basedOn w:val="DefaultParagraphFont"/>
    <w:uiPriority w:val="99"/>
    <w:rsid w:val="00412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750">
      <w:bodyDiv w:val="1"/>
      <w:marLeft w:val="0"/>
      <w:marRight w:val="0"/>
      <w:marTop w:val="0"/>
      <w:marBottom w:val="0"/>
      <w:divBdr>
        <w:top w:val="none" w:sz="0" w:space="0" w:color="auto"/>
        <w:left w:val="none" w:sz="0" w:space="0" w:color="auto"/>
        <w:bottom w:val="none" w:sz="0" w:space="0" w:color="auto"/>
        <w:right w:val="none" w:sz="0" w:space="0" w:color="auto"/>
      </w:divBdr>
    </w:div>
    <w:div w:id="492765364">
      <w:bodyDiv w:val="1"/>
      <w:marLeft w:val="0"/>
      <w:marRight w:val="0"/>
      <w:marTop w:val="0"/>
      <w:marBottom w:val="0"/>
      <w:divBdr>
        <w:top w:val="none" w:sz="0" w:space="0" w:color="auto"/>
        <w:left w:val="none" w:sz="0" w:space="0" w:color="auto"/>
        <w:bottom w:val="none" w:sz="0" w:space="0" w:color="auto"/>
        <w:right w:val="none" w:sz="0" w:space="0" w:color="auto"/>
      </w:divBdr>
    </w:div>
    <w:div w:id="834028209">
      <w:bodyDiv w:val="1"/>
      <w:marLeft w:val="0"/>
      <w:marRight w:val="0"/>
      <w:marTop w:val="0"/>
      <w:marBottom w:val="0"/>
      <w:divBdr>
        <w:top w:val="none" w:sz="0" w:space="0" w:color="auto"/>
        <w:left w:val="none" w:sz="0" w:space="0" w:color="auto"/>
        <w:bottom w:val="none" w:sz="0" w:space="0" w:color="auto"/>
        <w:right w:val="none" w:sz="0" w:space="0" w:color="auto"/>
      </w:divBdr>
    </w:div>
    <w:div w:id="976301663">
      <w:bodyDiv w:val="1"/>
      <w:marLeft w:val="0"/>
      <w:marRight w:val="0"/>
      <w:marTop w:val="0"/>
      <w:marBottom w:val="0"/>
      <w:divBdr>
        <w:top w:val="none" w:sz="0" w:space="0" w:color="auto"/>
        <w:left w:val="none" w:sz="0" w:space="0" w:color="auto"/>
        <w:bottom w:val="none" w:sz="0" w:space="0" w:color="auto"/>
        <w:right w:val="none" w:sz="0" w:space="0" w:color="auto"/>
      </w:divBdr>
    </w:div>
    <w:div w:id="1911118204">
      <w:bodyDiv w:val="1"/>
      <w:marLeft w:val="0"/>
      <w:marRight w:val="0"/>
      <w:marTop w:val="0"/>
      <w:marBottom w:val="0"/>
      <w:divBdr>
        <w:top w:val="none" w:sz="0" w:space="0" w:color="auto"/>
        <w:left w:val="none" w:sz="0" w:space="0" w:color="auto"/>
        <w:bottom w:val="none" w:sz="0" w:space="0" w:color="auto"/>
        <w:right w:val="none" w:sz="0" w:space="0" w:color="auto"/>
      </w:divBdr>
    </w:div>
    <w:div w:id="20605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mcpr-cca.org" TargetMode="External"/><Relationship Id="rId3" Type="http://schemas.openxmlformats.org/officeDocument/2006/relationships/settings" Target="settings.xml"/><Relationship Id="rId7" Type="http://schemas.openxmlformats.org/officeDocument/2006/relationships/hyperlink" Target="http://www.mcpr-c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Formo</dc:creator>
  <cp:keywords/>
  <dc:description/>
  <cp:lastModifiedBy>Jessi Brunelle</cp:lastModifiedBy>
  <cp:revision>2</cp:revision>
  <dcterms:created xsi:type="dcterms:W3CDTF">2017-08-22T18:10:00Z</dcterms:created>
  <dcterms:modified xsi:type="dcterms:W3CDTF">2017-08-22T18:10:00Z</dcterms:modified>
</cp:coreProperties>
</file>